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DD56C">
      <w:pPr>
        <w:spacing w:line="360" w:lineRule="auto"/>
        <w:jc w:val="center"/>
        <w:rPr>
          <w:rFonts w:hint="eastAsia" w:ascii="宋体" w:hAnsi="宋体"/>
          <w:b/>
          <w:color w:val="000000"/>
          <w:sz w:val="40"/>
          <w:szCs w:val="40"/>
        </w:rPr>
      </w:pPr>
      <w:r>
        <w:rPr>
          <w:rFonts w:ascii="宋体" w:hAnsi="宋体"/>
          <w:b/>
          <w:color w:val="000000"/>
          <w:sz w:val="40"/>
          <w:szCs w:val="40"/>
        </w:rPr>
        <w:t>宁波银行股份有限公司</w:t>
      </w:r>
    </w:p>
    <w:p w14:paraId="1347298D">
      <w:pPr>
        <w:spacing w:line="360" w:lineRule="auto"/>
        <w:jc w:val="center"/>
        <w:rPr>
          <w:rFonts w:hint="eastAsia" w:ascii="宋体" w:hAnsi="宋体"/>
          <w:b/>
          <w:color w:val="000000"/>
          <w:sz w:val="40"/>
          <w:szCs w:val="40"/>
        </w:rPr>
      </w:pPr>
      <w:r>
        <w:rPr>
          <w:rFonts w:hint="eastAsia" w:ascii="宋体" w:hAnsi="宋体"/>
          <w:b/>
          <w:color w:val="000000"/>
          <w:sz w:val="40"/>
          <w:szCs w:val="40"/>
        </w:rPr>
        <w:t>关于与关联公司签订统一交易协议的公告</w:t>
      </w:r>
    </w:p>
    <w:p w14:paraId="2EB501B3">
      <w:pPr>
        <w:autoSpaceDE w:val="0"/>
        <w:autoSpaceDN w:val="0"/>
        <w:adjustRightInd w:val="0"/>
        <w:snapToGrid w:val="0"/>
        <w:jc w:val="center"/>
        <w:rPr>
          <w:b/>
          <w:kern w:val="0"/>
          <w:sz w:val="40"/>
          <w:szCs w:val="40"/>
        </w:rPr>
      </w:pPr>
    </w:p>
    <w:p w14:paraId="181FBA3C">
      <w:pPr>
        <w:ind w:firstLine="600" w:firstLineChars="200"/>
        <w:outlineLvl w:val="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根据《银行保险机构关联交易管理办法》（中国银保监会令〔2022〕1号）（以下简称“《管理办法》”）等相关规定，宁波银行股份有限公司（以下简称“公司”）与甬兴证券有限公司（以下简称“关联公司”）签订《统一交易协议》（以下简称“协议”），现将相关情况公告如下：</w:t>
      </w:r>
    </w:p>
    <w:p w14:paraId="79B53ADC">
      <w:pPr>
        <w:ind w:firstLine="602" w:firstLineChars="200"/>
        <w:outlineLvl w:val="0"/>
        <w:rPr>
          <w:rFonts w:hint="eastAsia" w:ascii="仿宋_GB2312" w:eastAsia="仿宋_GB2312"/>
          <w:b/>
          <w:kern w:val="0"/>
          <w:sz w:val="30"/>
          <w:szCs w:val="30"/>
        </w:rPr>
      </w:pPr>
      <w:r>
        <w:rPr>
          <w:rFonts w:hint="eastAsia" w:ascii="仿宋_GB2312" w:eastAsia="仿宋_GB2312"/>
          <w:b/>
          <w:kern w:val="0"/>
          <w:sz w:val="30"/>
          <w:szCs w:val="30"/>
        </w:rPr>
        <w:t>一、概述</w:t>
      </w:r>
    </w:p>
    <w:p w14:paraId="7C51A4B5">
      <w:pPr>
        <w:ind w:firstLine="600" w:firstLineChars="200"/>
        <w:outlineLvl w:val="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为实现资源共享和优势互补，规范公司与关联公司之间长期持续的业务合作，根据《管理办法》等相关规定，公司与关联公司签订《统一交易协议》。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双</w:t>
      </w:r>
      <w:r>
        <w:rPr>
          <w:rFonts w:hint="eastAsia" w:ascii="仿宋_GB2312" w:eastAsia="仿宋_GB2312"/>
          <w:kern w:val="0"/>
          <w:sz w:val="30"/>
          <w:szCs w:val="30"/>
        </w:rPr>
        <w:t>方将通过全方位、多领域、多层次的业务和资本合作，共同探索商业银行和证券公司合作发展的新模式，以增强共同服务实体经济、重点项目、重点产业的水平和能力。协议所涉及到的交易包括：现券交易、分销业务、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正</w:t>
      </w:r>
      <w:r>
        <w:rPr>
          <w:rFonts w:hint="eastAsia" w:ascii="仿宋_GB2312" w:eastAsia="仿宋_GB2312"/>
          <w:kern w:val="0"/>
          <w:sz w:val="30"/>
          <w:szCs w:val="30"/>
        </w:rPr>
        <w:t>回购、专户合作、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债券发行、</w:t>
      </w:r>
      <w:r>
        <w:rPr>
          <w:rFonts w:hint="eastAsia" w:ascii="仿宋_GB2312" w:eastAsia="仿宋_GB2312"/>
          <w:kern w:val="0"/>
          <w:sz w:val="30"/>
          <w:szCs w:val="30"/>
        </w:rPr>
        <w:t>承销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等投行服务</w:t>
      </w:r>
      <w:r>
        <w:rPr>
          <w:rFonts w:hint="eastAsia" w:ascii="仿宋_GB2312" w:eastAsia="仿宋_GB2312"/>
          <w:kern w:val="0"/>
          <w:sz w:val="30"/>
          <w:szCs w:val="30"/>
        </w:rPr>
        <w:t>、三方存管、托管业务等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非授信类业务</w:t>
      </w:r>
      <w:r>
        <w:rPr>
          <w:rFonts w:hint="eastAsia" w:ascii="仿宋_GB2312" w:eastAsia="仿宋_GB2312"/>
          <w:kern w:val="0"/>
          <w:sz w:val="30"/>
          <w:szCs w:val="30"/>
        </w:rPr>
        <w:t>。</w:t>
      </w:r>
    </w:p>
    <w:p w14:paraId="0332DA40">
      <w:pPr>
        <w:ind w:firstLine="602" w:firstLineChars="200"/>
        <w:outlineLvl w:val="0"/>
        <w:rPr>
          <w:rFonts w:hint="eastAsia" w:ascii="仿宋_GB2312" w:eastAsia="仿宋_GB2312"/>
          <w:b/>
          <w:kern w:val="0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kern w:val="0"/>
          <w:sz w:val="30"/>
          <w:szCs w:val="30"/>
          <w:highlight w:val="none"/>
        </w:rPr>
        <w:t>二、关联关系和关联方基本情况</w:t>
      </w:r>
    </w:p>
    <w:p w14:paraId="7691A992">
      <w:pPr>
        <w:ind w:firstLine="600" w:firstLineChars="200"/>
        <w:outlineLvl w:val="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甬兴证券有限公司为公司主要股东宁波开发投资集团有限公司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控股</w:t>
      </w:r>
      <w:r>
        <w:rPr>
          <w:rFonts w:hint="eastAsia" w:ascii="仿宋_GB2312" w:eastAsia="仿宋_GB2312"/>
          <w:kern w:val="0"/>
          <w:sz w:val="30"/>
          <w:szCs w:val="30"/>
        </w:rPr>
        <w:t>子公司，总部位于浙江宁波，注册资本30亿元人民币，业务范围为证券经纪、证券投资咨询、证券自营、证券承销与保荐、证券投资基金销售，下设全资子公司上海甬兴证券资产管理有限公司</w:t>
      </w:r>
      <w:r>
        <w:rPr>
          <w:rFonts w:hint="eastAsia" w:ascii="仿宋_GB2312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甬兴股权投资（宁波）有限公司</w:t>
      </w:r>
      <w:r>
        <w:rPr>
          <w:rFonts w:hint="eastAsia" w:ascii="仿宋_GB2312" w:eastAsia="仿宋_GB2312"/>
          <w:kern w:val="0"/>
          <w:sz w:val="30"/>
          <w:szCs w:val="30"/>
        </w:rPr>
        <w:t>。</w:t>
      </w:r>
    </w:p>
    <w:p w14:paraId="49EC1D2D">
      <w:pPr>
        <w:ind w:firstLine="602" w:firstLineChars="200"/>
        <w:outlineLvl w:val="0"/>
        <w:rPr>
          <w:rFonts w:hint="eastAsia" w:ascii="仿宋_GB2312" w:eastAsia="仿宋_GB2312"/>
          <w:b/>
          <w:kern w:val="0"/>
          <w:sz w:val="30"/>
          <w:szCs w:val="30"/>
        </w:rPr>
      </w:pPr>
      <w:r>
        <w:rPr>
          <w:rFonts w:hint="eastAsia" w:ascii="仿宋_GB2312" w:eastAsia="仿宋_GB2312"/>
          <w:b/>
          <w:kern w:val="0"/>
          <w:sz w:val="30"/>
          <w:szCs w:val="30"/>
        </w:rPr>
        <w:t>三、定价原则</w:t>
      </w:r>
    </w:p>
    <w:p w14:paraId="53C0513C">
      <w:pPr>
        <w:ind w:firstLine="600" w:firstLineChars="200"/>
        <w:outlineLvl w:val="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公司与关联公司业务合作的定价遵循市场价格，坚持商业原则，未优于其他客户，符合公司关联交易的控制要求。</w:t>
      </w:r>
    </w:p>
    <w:p w14:paraId="46A32999">
      <w:pPr>
        <w:ind w:firstLine="602" w:firstLineChars="200"/>
        <w:outlineLvl w:val="0"/>
        <w:rPr>
          <w:rFonts w:hint="eastAsia" w:ascii="仿宋_GB2312" w:eastAsia="仿宋_GB2312"/>
          <w:b/>
          <w:kern w:val="0"/>
          <w:sz w:val="30"/>
          <w:szCs w:val="30"/>
        </w:rPr>
      </w:pPr>
      <w:r>
        <w:rPr>
          <w:rFonts w:hint="eastAsia" w:ascii="仿宋_GB2312" w:eastAsia="仿宋_GB2312"/>
          <w:b/>
          <w:kern w:val="0"/>
          <w:sz w:val="30"/>
          <w:szCs w:val="30"/>
        </w:rPr>
        <w:t>四、协议的相关情况</w:t>
      </w:r>
    </w:p>
    <w:p w14:paraId="0F3017D3">
      <w:pPr>
        <w:ind w:firstLine="600" w:firstLineChars="200"/>
        <w:outlineLvl w:val="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根据统一交易协议，公司与甬兴证券有限公司之间的非授信类交易限额为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240.1</w:t>
      </w:r>
      <w:r>
        <w:rPr>
          <w:rFonts w:hint="eastAsia" w:ascii="仿宋_GB2312" w:eastAsia="仿宋_GB2312"/>
          <w:kern w:val="0"/>
          <w:sz w:val="30"/>
          <w:szCs w:val="30"/>
        </w:rPr>
        <w:t>亿元。</w:t>
      </w:r>
    </w:p>
    <w:p w14:paraId="7BEFDCE9">
      <w:pPr>
        <w:ind w:firstLine="600" w:firstLineChars="200"/>
        <w:outlineLvl w:val="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公司与关联公司确认并同意，协议项下具体交易的时间、方式、支付、结算等事项，将由双方或其附属公司按照一般商业惯例及协议的规定，另行具体约定，并须符合协议的规定以及有关法律法规的有关要求。协议由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双</w:t>
      </w:r>
      <w:r>
        <w:rPr>
          <w:rFonts w:hint="eastAsia" w:ascii="仿宋_GB2312" w:eastAsia="仿宋_GB2312"/>
          <w:kern w:val="0"/>
          <w:sz w:val="30"/>
          <w:szCs w:val="30"/>
        </w:rPr>
        <w:t>方加盖公章成立且生效，履行期限为202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0"/>
          <w:szCs w:val="30"/>
        </w:rPr>
        <w:t>年全年。</w:t>
      </w:r>
    </w:p>
    <w:p w14:paraId="570CAEA0">
      <w:pPr>
        <w:ind w:firstLine="602" w:firstLineChars="200"/>
        <w:outlineLvl w:val="0"/>
        <w:rPr>
          <w:rFonts w:hint="eastAsia" w:ascii="仿宋_GB2312" w:eastAsia="仿宋_GB2312"/>
          <w:b/>
          <w:kern w:val="0"/>
          <w:sz w:val="30"/>
          <w:szCs w:val="30"/>
        </w:rPr>
      </w:pPr>
      <w:r>
        <w:rPr>
          <w:rFonts w:hint="eastAsia" w:ascii="仿宋_GB2312" w:eastAsia="仿宋_GB2312"/>
          <w:b/>
          <w:kern w:val="0"/>
          <w:sz w:val="30"/>
          <w:szCs w:val="30"/>
        </w:rPr>
        <w:t>五、本年度已发生的协议项下金额</w:t>
      </w:r>
    </w:p>
    <w:p w14:paraId="678AFDF3">
      <w:pPr>
        <w:ind w:firstLine="600" w:firstLineChars="200"/>
        <w:outlineLvl w:val="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截至202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kern w:val="0"/>
          <w:sz w:val="30"/>
          <w:szCs w:val="30"/>
        </w:rPr>
        <w:t>年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0"/>
          <w:szCs w:val="30"/>
        </w:rPr>
        <w:t>月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31</w:t>
      </w:r>
      <w:r>
        <w:rPr>
          <w:rFonts w:hint="eastAsia" w:ascii="仿宋_GB2312" w:eastAsia="仿宋_GB2312"/>
          <w:kern w:val="0"/>
          <w:sz w:val="30"/>
          <w:szCs w:val="30"/>
        </w:rPr>
        <w:t>日，在统一交易协议项下，公司与甬兴证券有限公司发生的非授信类交易金额为</w:t>
      </w:r>
      <w:r>
        <w:rPr>
          <w:rFonts w:hint="eastAsia" w:ascii="仿宋_GB2312" w:eastAsia="仿宋_GB2312"/>
          <w:kern w:val="0"/>
          <w:sz w:val="30"/>
          <w:szCs w:val="30"/>
          <w:highlight w:val="none"/>
          <w:lang w:val="en-US" w:eastAsia="zh-CN"/>
        </w:rPr>
        <w:t>1.65亿</w:t>
      </w:r>
      <w:r>
        <w:rPr>
          <w:rFonts w:hint="eastAsia" w:ascii="仿宋_GB2312" w:eastAsia="仿宋_GB2312"/>
          <w:kern w:val="0"/>
          <w:sz w:val="30"/>
          <w:szCs w:val="30"/>
          <w:highlight w:val="none"/>
        </w:rPr>
        <w:t>元。</w:t>
      </w:r>
    </w:p>
    <w:p w14:paraId="7E26C11F">
      <w:pPr>
        <w:numPr>
          <w:ilvl w:val="0"/>
          <w:numId w:val="0"/>
        </w:numPr>
        <w:ind w:firstLine="602" w:firstLineChars="200"/>
        <w:outlineLvl w:val="0"/>
        <w:rPr>
          <w:rFonts w:hint="eastAsia" w:ascii="仿宋_GB2312" w:eastAsia="仿宋_GB2312"/>
          <w:b/>
          <w:bCs/>
          <w:kern w:val="0"/>
          <w:sz w:val="30"/>
          <w:szCs w:val="30"/>
        </w:rPr>
      </w:pPr>
      <w:r>
        <w:rPr>
          <w:rFonts w:hint="eastAsia" w:ascii="仿宋_GB2312" w:eastAsia="仿宋_GB2312" w:cs="Times New Roman"/>
          <w:b/>
          <w:bCs/>
          <w:kern w:val="0"/>
          <w:sz w:val="30"/>
          <w:szCs w:val="30"/>
          <w:lang w:val="en-US" w:eastAsia="zh-CN" w:bidi="ar-SA"/>
        </w:rPr>
        <w:t>六</w:t>
      </w:r>
      <w:r>
        <w:rPr>
          <w:rFonts w:hint="eastAsia" w:ascii="仿宋_GB2312" w:hAnsi="Times New Roman" w:eastAsia="仿宋_GB2312" w:cs="Times New Roman"/>
          <w:b/>
          <w:bCs/>
          <w:kern w:val="0"/>
          <w:sz w:val="30"/>
          <w:szCs w:val="30"/>
          <w:lang w:val="en-US" w:eastAsia="zh-CN" w:bidi="ar-SA"/>
        </w:rPr>
        <w:t>、</w:t>
      </w:r>
      <w:r>
        <w:rPr>
          <w:rFonts w:hint="eastAsia" w:ascii="仿宋_GB2312" w:eastAsia="仿宋_GB2312"/>
          <w:b/>
          <w:bCs/>
          <w:kern w:val="0"/>
          <w:sz w:val="30"/>
          <w:szCs w:val="30"/>
        </w:rPr>
        <w:t>决策及审议情况</w:t>
      </w:r>
    </w:p>
    <w:p w14:paraId="27FBDDE4">
      <w:pPr>
        <w:ind w:firstLine="600" w:firstLineChars="200"/>
        <w:outlineLvl w:val="0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协议经公司第八届董事会独立董事第</w:t>
      </w:r>
      <w:r>
        <w:rPr>
          <w:rFonts w:hint="eastAsia" w:eastAsia="仿宋_GB2312"/>
          <w:kern w:val="0"/>
          <w:sz w:val="30"/>
          <w:szCs w:val="30"/>
          <w:lang w:eastAsia="zh-CN"/>
        </w:rPr>
        <w:t>五</w:t>
      </w:r>
      <w:r>
        <w:rPr>
          <w:rFonts w:hint="eastAsia" w:eastAsia="仿宋_GB2312"/>
          <w:kern w:val="0"/>
          <w:sz w:val="30"/>
          <w:szCs w:val="30"/>
        </w:rPr>
        <w:t>次专门会议、第八届董事会关联交易控制委员会第十四次会议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</w:rPr>
        <w:t>第八届董事会第</w:t>
      </w:r>
      <w:r>
        <w:rPr>
          <w:rFonts w:hint="eastAsia" w:eastAsia="仿宋_GB2312"/>
          <w:kern w:val="0"/>
          <w:sz w:val="30"/>
          <w:szCs w:val="30"/>
          <w:lang w:eastAsia="zh-CN"/>
        </w:rPr>
        <w:t>十二</w:t>
      </w:r>
      <w:r>
        <w:rPr>
          <w:rFonts w:hint="eastAsia" w:eastAsia="仿宋_GB2312"/>
          <w:kern w:val="0"/>
          <w:sz w:val="30"/>
          <w:szCs w:val="30"/>
        </w:rPr>
        <w:t>次会议审议通过。</w:t>
      </w:r>
    </w:p>
    <w:p w14:paraId="1A368C15">
      <w:pPr>
        <w:ind w:firstLine="602" w:firstLineChars="200"/>
        <w:outlineLvl w:val="0"/>
        <w:rPr>
          <w:rFonts w:hint="eastAsia" w:ascii="仿宋_GB2312" w:eastAsia="仿宋_GB2312"/>
          <w:b/>
          <w:kern w:val="0"/>
          <w:sz w:val="30"/>
          <w:szCs w:val="30"/>
        </w:rPr>
      </w:pPr>
      <w:r>
        <w:rPr>
          <w:rFonts w:hint="eastAsia" w:ascii="仿宋_GB2312" w:eastAsia="仿宋_GB2312"/>
          <w:b/>
          <w:kern w:val="0"/>
          <w:sz w:val="30"/>
          <w:szCs w:val="30"/>
          <w:lang w:val="en-US" w:eastAsia="zh-CN"/>
        </w:rPr>
        <w:t>七</w:t>
      </w:r>
      <w:r>
        <w:rPr>
          <w:rFonts w:hint="eastAsia" w:ascii="仿宋_GB2312" w:eastAsia="仿宋_GB2312"/>
          <w:b/>
          <w:kern w:val="0"/>
          <w:sz w:val="30"/>
          <w:szCs w:val="30"/>
        </w:rPr>
        <w:t>、签订协议对公司本期和未来财务状况的影响</w:t>
      </w:r>
    </w:p>
    <w:p w14:paraId="50D3ECDA">
      <w:pPr>
        <w:ind w:firstLine="600" w:firstLineChars="200"/>
        <w:outlineLvl w:val="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公司与关联公司之间的业务合作遵循相关法律法规和监管规定，充分发挥了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双</w:t>
      </w:r>
      <w:r>
        <w:rPr>
          <w:rFonts w:hint="eastAsia" w:ascii="仿宋_GB2312" w:eastAsia="仿宋_GB2312"/>
          <w:kern w:val="0"/>
          <w:sz w:val="30"/>
          <w:szCs w:val="30"/>
        </w:rPr>
        <w:t>方优势，优化了资源配置，对公司本期和未来财务状况不存在不利影响。</w:t>
      </w:r>
    </w:p>
    <w:p w14:paraId="5DE92606">
      <w:pPr>
        <w:ind w:firstLine="602" w:firstLineChars="200"/>
        <w:outlineLvl w:val="0"/>
        <w:rPr>
          <w:rFonts w:hint="eastAsia" w:ascii="仿宋_GB2312" w:eastAsia="仿宋_GB2312"/>
          <w:b/>
          <w:kern w:val="0"/>
          <w:sz w:val="30"/>
          <w:szCs w:val="30"/>
        </w:rPr>
      </w:pPr>
      <w:r>
        <w:rPr>
          <w:rFonts w:hint="eastAsia" w:ascii="仿宋_GB2312" w:eastAsia="仿宋_GB2312"/>
          <w:b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_GB2312" w:eastAsia="仿宋_GB2312"/>
          <w:b/>
          <w:kern w:val="0"/>
          <w:sz w:val="30"/>
          <w:szCs w:val="30"/>
        </w:rPr>
        <w:t>、其他需要披露的信息</w:t>
      </w:r>
    </w:p>
    <w:p w14:paraId="51267847">
      <w:pPr>
        <w:ind w:firstLine="600" w:firstLineChars="200"/>
        <w:outlineLvl w:val="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无。</w:t>
      </w:r>
    </w:p>
    <w:p w14:paraId="1185D4E4">
      <w:pPr>
        <w:ind w:firstLine="600" w:firstLineChars="200"/>
        <w:outlineLvl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特此公告。</w:t>
      </w:r>
    </w:p>
    <w:p w14:paraId="795AE9C3">
      <w:pPr>
        <w:ind w:firstLine="600" w:firstLineChars="200"/>
        <w:outlineLvl w:val="0"/>
        <w:rPr>
          <w:rFonts w:hint="eastAsia" w:ascii="仿宋_GB2312" w:eastAsia="仿宋_GB2312"/>
          <w:sz w:val="30"/>
          <w:szCs w:val="30"/>
        </w:rPr>
      </w:pPr>
    </w:p>
    <w:p w14:paraId="14FE6168">
      <w:pPr>
        <w:ind w:firstLine="600" w:firstLineChars="200"/>
        <w:outlineLvl w:val="0"/>
        <w:rPr>
          <w:rFonts w:hint="eastAsia" w:ascii="仿宋_GB2312" w:eastAsia="仿宋_GB2312"/>
          <w:sz w:val="30"/>
          <w:szCs w:val="30"/>
        </w:rPr>
      </w:pPr>
    </w:p>
    <w:p w14:paraId="4C777815">
      <w:pPr>
        <w:spacing w:before="240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宁波银行股份有限公司</w:t>
      </w:r>
    </w:p>
    <w:p w14:paraId="00D7AA8F">
      <w:pPr>
        <w:jc w:val="righ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202</w:t>
      </w:r>
      <w:r>
        <w:rPr>
          <w:rFonts w:hint="eastAsia" w:eastAsia="仿宋_GB2312"/>
          <w:sz w:val="30"/>
          <w:szCs w:val="30"/>
          <w:lang w:val="en-US" w:eastAsia="zh-CN"/>
        </w:rPr>
        <w:t>6</w:t>
      </w:r>
      <w:r>
        <w:rPr>
          <w:rFonts w:hAnsi="仿宋_GB2312" w:eastAsia="仿宋_GB2312"/>
          <w:sz w:val="30"/>
          <w:szCs w:val="30"/>
        </w:rPr>
        <w:t>年</w:t>
      </w:r>
      <w:r>
        <w:rPr>
          <w:rFonts w:hint="eastAsia" w:hAnsi="仿宋_GB2312" w:eastAsia="仿宋_GB2312"/>
          <w:sz w:val="30"/>
          <w:szCs w:val="30"/>
          <w:lang w:val="en-US" w:eastAsia="zh-CN"/>
        </w:rPr>
        <w:t>6</w:t>
      </w:r>
      <w:r>
        <w:rPr>
          <w:rFonts w:hAnsi="仿宋_GB2312" w:eastAsia="仿宋_GB2312"/>
          <w:sz w:val="30"/>
          <w:szCs w:val="30"/>
        </w:rPr>
        <w:t>月</w:t>
      </w:r>
      <w:r>
        <w:rPr>
          <w:rFonts w:hint="eastAsia" w:hAnsi="仿宋_GB2312" w:eastAsia="仿宋_GB2312"/>
          <w:sz w:val="30"/>
          <w:szCs w:val="30"/>
          <w:lang w:val="en-US" w:eastAsia="zh-CN"/>
        </w:rPr>
        <w:t>8</w:t>
      </w:r>
      <w:r>
        <w:rPr>
          <w:rFonts w:eastAsia="仿宋_GB2312"/>
          <w:sz w:val="30"/>
          <w:szCs w:val="30"/>
        </w:rPr>
        <w:t>日</w:t>
      </w:r>
    </w:p>
    <w:p w14:paraId="28AC0388">
      <w:pPr>
        <w:jc w:val="right"/>
        <w:rPr>
          <w:rFonts w:hint="eastAsia" w:ascii="仿宋_GB2312"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361" w:right="1644" w:bottom="136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E42A2"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3</w:t>
    </w:r>
    <w:r>
      <w:rPr>
        <w:rStyle w:val="16"/>
      </w:rPr>
      <w:fldChar w:fldCharType="end"/>
    </w:r>
  </w:p>
  <w:p w14:paraId="4564FFC4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A9C6F"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5F79740F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NjliOTA0ZGRiYjA1ZWFlNzI1NDU4ZTkyYzE5MTgifQ=="/>
  </w:docVars>
  <w:rsids>
    <w:rsidRoot w:val="007F31A8"/>
    <w:rsid w:val="00001FF8"/>
    <w:rsid w:val="000166FC"/>
    <w:rsid w:val="00017E70"/>
    <w:rsid w:val="0002079D"/>
    <w:rsid w:val="00023BD4"/>
    <w:rsid w:val="000274D8"/>
    <w:rsid w:val="00030637"/>
    <w:rsid w:val="00034E9C"/>
    <w:rsid w:val="000448D1"/>
    <w:rsid w:val="000458EE"/>
    <w:rsid w:val="00050E75"/>
    <w:rsid w:val="000531DB"/>
    <w:rsid w:val="000579C3"/>
    <w:rsid w:val="00060AB6"/>
    <w:rsid w:val="00062441"/>
    <w:rsid w:val="000645C0"/>
    <w:rsid w:val="000647F0"/>
    <w:rsid w:val="00090B6C"/>
    <w:rsid w:val="00090EEE"/>
    <w:rsid w:val="00095068"/>
    <w:rsid w:val="00095FBD"/>
    <w:rsid w:val="000A7AB9"/>
    <w:rsid w:val="000A7B19"/>
    <w:rsid w:val="000B1023"/>
    <w:rsid w:val="000B6963"/>
    <w:rsid w:val="000C137C"/>
    <w:rsid w:val="000C2AE3"/>
    <w:rsid w:val="000D0966"/>
    <w:rsid w:val="000D2314"/>
    <w:rsid w:val="000E22BD"/>
    <w:rsid w:val="000E232F"/>
    <w:rsid w:val="000F403D"/>
    <w:rsid w:val="000F7BAA"/>
    <w:rsid w:val="00104E40"/>
    <w:rsid w:val="00123B7F"/>
    <w:rsid w:val="00123C9B"/>
    <w:rsid w:val="001245F4"/>
    <w:rsid w:val="001269F2"/>
    <w:rsid w:val="0017553A"/>
    <w:rsid w:val="001A1B20"/>
    <w:rsid w:val="001A57C6"/>
    <w:rsid w:val="001D3BCE"/>
    <w:rsid w:val="001E13A6"/>
    <w:rsid w:val="001E154B"/>
    <w:rsid w:val="001E2555"/>
    <w:rsid w:val="001E37C5"/>
    <w:rsid w:val="0020781E"/>
    <w:rsid w:val="00210834"/>
    <w:rsid w:val="002143AF"/>
    <w:rsid w:val="00220DAA"/>
    <w:rsid w:val="002221A6"/>
    <w:rsid w:val="00234D41"/>
    <w:rsid w:val="002410E5"/>
    <w:rsid w:val="002442B0"/>
    <w:rsid w:val="0025575D"/>
    <w:rsid w:val="00273D23"/>
    <w:rsid w:val="00276B33"/>
    <w:rsid w:val="00280079"/>
    <w:rsid w:val="00281B4D"/>
    <w:rsid w:val="0028234F"/>
    <w:rsid w:val="00282933"/>
    <w:rsid w:val="002851D4"/>
    <w:rsid w:val="0028663E"/>
    <w:rsid w:val="002932BD"/>
    <w:rsid w:val="002944D1"/>
    <w:rsid w:val="002A1011"/>
    <w:rsid w:val="002B1BA6"/>
    <w:rsid w:val="002C32D1"/>
    <w:rsid w:val="002E0EDD"/>
    <w:rsid w:val="002E54FE"/>
    <w:rsid w:val="002F30E3"/>
    <w:rsid w:val="00311DDC"/>
    <w:rsid w:val="00313448"/>
    <w:rsid w:val="003159AC"/>
    <w:rsid w:val="0033403B"/>
    <w:rsid w:val="00357866"/>
    <w:rsid w:val="003654D7"/>
    <w:rsid w:val="0037468A"/>
    <w:rsid w:val="00385128"/>
    <w:rsid w:val="003851AC"/>
    <w:rsid w:val="00385B05"/>
    <w:rsid w:val="00396AE6"/>
    <w:rsid w:val="003A539C"/>
    <w:rsid w:val="003A7CE7"/>
    <w:rsid w:val="003C76D7"/>
    <w:rsid w:val="003D09BC"/>
    <w:rsid w:val="003D2297"/>
    <w:rsid w:val="003D63B9"/>
    <w:rsid w:val="003D6FE5"/>
    <w:rsid w:val="003E1AD4"/>
    <w:rsid w:val="003E3E85"/>
    <w:rsid w:val="003F0D55"/>
    <w:rsid w:val="004017A7"/>
    <w:rsid w:val="00406BDE"/>
    <w:rsid w:val="00413700"/>
    <w:rsid w:val="00433AFB"/>
    <w:rsid w:val="00435F32"/>
    <w:rsid w:val="00436128"/>
    <w:rsid w:val="0044225D"/>
    <w:rsid w:val="00442BCE"/>
    <w:rsid w:val="004468CE"/>
    <w:rsid w:val="00452713"/>
    <w:rsid w:val="00453219"/>
    <w:rsid w:val="00464FC3"/>
    <w:rsid w:val="00470DC5"/>
    <w:rsid w:val="00475B8E"/>
    <w:rsid w:val="0048005F"/>
    <w:rsid w:val="00493B8F"/>
    <w:rsid w:val="004A6E7E"/>
    <w:rsid w:val="004B1BE1"/>
    <w:rsid w:val="004B2C4D"/>
    <w:rsid w:val="004C40EA"/>
    <w:rsid w:val="004C4C34"/>
    <w:rsid w:val="004D261B"/>
    <w:rsid w:val="00502764"/>
    <w:rsid w:val="00512292"/>
    <w:rsid w:val="0051461E"/>
    <w:rsid w:val="0051498D"/>
    <w:rsid w:val="00516391"/>
    <w:rsid w:val="00525C61"/>
    <w:rsid w:val="0053379F"/>
    <w:rsid w:val="005343CB"/>
    <w:rsid w:val="00542830"/>
    <w:rsid w:val="00551C6A"/>
    <w:rsid w:val="00551D62"/>
    <w:rsid w:val="00554353"/>
    <w:rsid w:val="00556C45"/>
    <w:rsid w:val="0055726B"/>
    <w:rsid w:val="00570CEF"/>
    <w:rsid w:val="00581E64"/>
    <w:rsid w:val="00591F10"/>
    <w:rsid w:val="00596BBB"/>
    <w:rsid w:val="005A0B17"/>
    <w:rsid w:val="005B5CBE"/>
    <w:rsid w:val="005B7992"/>
    <w:rsid w:val="005C01DB"/>
    <w:rsid w:val="005C65C1"/>
    <w:rsid w:val="005D480D"/>
    <w:rsid w:val="005F3CB3"/>
    <w:rsid w:val="00601D53"/>
    <w:rsid w:val="00602FDF"/>
    <w:rsid w:val="006104D6"/>
    <w:rsid w:val="00614367"/>
    <w:rsid w:val="00622ABD"/>
    <w:rsid w:val="0063332F"/>
    <w:rsid w:val="0064131B"/>
    <w:rsid w:val="00642F59"/>
    <w:rsid w:val="00646541"/>
    <w:rsid w:val="00672BFD"/>
    <w:rsid w:val="00687016"/>
    <w:rsid w:val="00695772"/>
    <w:rsid w:val="006A01AD"/>
    <w:rsid w:val="006A3578"/>
    <w:rsid w:val="006B117B"/>
    <w:rsid w:val="006B2121"/>
    <w:rsid w:val="006B3FC7"/>
    <w:rsid w:val="006C17F6"/>
    <w:rsid w:val="006D080D"/>
    <w:rsid w:val="006D4444"/>
    <w:rsid w:val="006D5682"/>
    <w:rsid w:val="006D6A71"/>
    <w:rsid w:val="006D7EE3"/>
    <w:rsid w:val="006E42A5"/>
    <w:rsid w:val="006E61B7"/>
    <w:rsid w:val="006F74F6"/>
    <w:rsid w:val="00710F46"/>
    <w:rsid w:val="007116B1"/>
    <w:rsid w:val="007125D6"/>
    <w:rsid w:val="00714561"/>
    <w:rsid w:val="00744C2F"/>
    <w:rsid w:val="00751635"/>
    <w:rsid w:val="00752198"/>
    <w:rsid w:val="0075579C"/>
    <w:rsid w:val="007666A4"/>
    <w:rsid w:val="00796C30"/>
    <w:rsid w:val="007A4C27"/>
    <w:rsid w:val="007A4F49"/>
    <w:rsid w:val="007B4F81"/>
    <w:rsid w:val="007B519C"/>
    <w:rsid w:val="007E0718"/>
    <w:rsid w:val="007F31A8"/>
    <w:rsid w:val="007F606A"/>
    <w:rsid w:val="007F6773"/>
    <w:rsid w:val="00800916"/>
    <w:rsid w:val="0080674F"/>
    <w:rsid w:val="00815539"/>
    <w:rsid w:val="00822486"/>
    <w:rsid w:val="00833A97"/>
    <w:rsid w:val="00842755"/>
    <w:rsid w:val="008511FD"/>
    <w:rsid w:val="00853066"/>
    <w:rsid w:val="008574F5"/>
    <w:rsid w:val="00871E76"/>
    <w:rsid w:val="008779F5"/>
    <w:rsid w:val="008810D4"/>
    <w:rsid w:val="008875E6"/>
    <w:rsid w:val="0089065D"/>
    <w:rsid w:val="00891CEF"/>
    <w:rsid w:val="00895C2A"/>
    <w:rsid w:val="008A5CDB"/>
    <w:rsid w:val="008A624B"/>
    <w:rsid w:val="008B7E94"/>
    <w:rsid w:val="008C47F5"/>
    <w:rsid w:val="008E7C65"/>
    <w:rsid w:val="008F68B8"/>
    <w:rsid w:val="00900091"/>
    <w:rsid w:val="00902C35"/>
    <w:rsid w:val="00907AC6"/>
    <w:rsid w:val="009127CB"/>
    <w:rsid w:val="00923F29"/>
    <w:rsid w:val="00930D0C"/>
    <w:rsid w:val="0093133E"/>
    <w:rsid w:val="009365A4"/>
    <w:rsid w:val="0093676A"/>
    <w:rsid w:val="009433EB"/>
    <w:rsid w:val="00946017"/>
    <w:rsid w:val="00950EEC"/>
    <w:rsid w:val="00951F17"/>
    <w:rsid w:val="00955F41"/>
    <w:rsid w:val="00982340"/>
    <w:rsid w:val="00991578"/>
    <w:rsid w:val="009A46CA"/>
    <w:rsid w:val="009B38D1"/>
    <w:rsid w:val="009C5712"/>
    <w:rsid w:val="009D0009"/>
    <w:rsid w:val="009D26AE"/>
    <w:rsid w:val="009E457D"/>
    <w:rsid w:val="009E4ABB"/>
    <w:rsid w:val="009F2AAA"/>
    <w:rsid w:val="009F4FD3"/>
    <w:rsid w:val="00A0175F"/>
    <w:rsid w:val="00A04D15"/>
    <w:rsid w:val="00A07C69"/>
    <w:rsid w:val="00A07F0C"/>
    <w:rsid w:val="00A10180"/>
    <w:rsid w:val="00A16D86"/>
    <w:rsid w:val="00A25AEA"/>
    <w:rsid w:val="00A31278"/>
    <w:rsid w:val="00A33C3E"/>
    <w:rsid w:val="00A44711"/>
    <w:rsid w:val="00A53DF0"/>
    <w:rsid w:val="00A56C30"/>
    <w:rsid w:val="00A62D0D"/>
    <w:rsid w:val="00A637C3"/>
    <w:rsid w:val="00A7067D"/>
    <w:rsid w:val="00A86C12"/>
    <w:rsid w:val="00A92D5B"/>
    <w:rsid w:val="00A930AC"/>
    <w:rsid w:val="00A94CF6"/>
    <w:rsid w:val="00A956A4"/>
    <w:rsid w:val="00A97A8E"/>
    <w:rsid w:val="00AA3729"/>
    <w:rsid w:val="00AA4232"/>
    <w:rsid w:val="00AB06E6"/>
    <w:rsid w:val="00AB2E89"/>
    <w:rsid w:val="00AB65DE"/>
    <w:rsid w:val="00AC77AA"/>
    <w:rsid w:val="00AD4F5C"/>
    <w:rsid w:val="00AD6B24"/>
    <w:rsid w:val="00B00841"/>
    <w:rsid w:val="00B04361"/>
    <w:rsid w:val="00B05DD9"/>
    <w:rsid w:val="00B05F23"/>
    <w:rsid w:val="00B1247F"/>
    <w:rsid w:val="00B147CD"/>
    <w:rsid w:val="00B35373"/>
    <w:rsid w:val="00B40287"/>
    <w:rsid w:val="00B41666"/>
    <w:rsid w:val="00B55B1E"/>
    <w:rsid w:val="00B5739C"/>
    <w:rsid w:val="00B6179C"/>
    <w:rsid w:val="00B62671"/>
    <w:rsid w:val="00B74318"/>
    <w:rsid w:val="00B77695"/>
    <w:rsid w:val="00B82903"/>
    <w:rsid w:val="00B912E9"/>
    <w:rsid w:val="00B94CF7"/>
    <w:rsid w:val="00BA627B"/>
    <w:rsid w:val="00BB0994"/>
    <w:rsid w:val="00BB11B0"/>
    <w:rsid w:val="00BB6628"/>
    <w:rsid w:val="00BC5BC0"/>
    <w:rsid w:val="00BD4C51"/>
    <w:rsid w:val="00BE00E1"/>
    <w:rsid w:val="00BE0FF9"/>
    <w:rsid w:val="00BE1C61"/>
    <w:rsid w:val="00BF1C66"/>
    <w:rsid w:val="00BF4AC0"/>
    <w:rsid w:val="00C0069C"/>
    <w:rsid w:val="00C03BC6"/>
    <w:rsid w:val="00C11C4B"/>
    <w:rsid w:val="00C12B70"/>
    <w:rsid w:val="00C159BA"/>
    <w:rsid w:val="00C2493B"/>
    <w:rsid w:val="00C33FD3"/>
    <w:rsid w:val="00C4139E"/>
    <w:rsid w:val="00C50ECD"/>
    <w:rsid w:val="00C566DB"/>
    <w:rsid w:val="00C615A2"/>
    <w:rsid w:val="00C64D26"/>
    <w:rsid w:val="00C65CCE"/>
    <w:rsid w:val="00C67B70"/>
    <w:rsid w:val="00C83352"/>
    <w:rsid w:val="00C84EDE"/>
    <w:rsid w:val="00C85C47"/>
    <w:rsid w:val="00C91978"/>
    <w:rsid w:val="00CA7286"/>
    <w:rsid w:val="00CB1FF9"/>
    <w:rsid w:val="00CC5BD8"/>
    <w:rsid w:val="00CD0916"/>
    <w:rsid w:val="00CD7C26"/>
    <w:rsid w:val="00CF3535"/>
    <w:rsid w:val="00CF3978"/>
    <w:rsid w:val="00D0250C"/>
    <w:rsid w:val="00D079D0"/>
    <w:rsid w:val="00D1000C"/>
    <w:rsid w:val="00D20F60"/>
    <w:rsid w:val="00D22BF4"/>
    <w:rsid w:val="00D25EC4"/>
    <w:rsid w:val="00D260CB"/>
    <w:rsid w:val="00D31DEE"/>
    <w:rsid w:val="00D362D6"/>
    <w:rsid w:val="00D4779C"/>
    <w:rsid w:val="00D61CC1"/>
    <w:rsid w:val="00D67AC4"/>
    <w:rsid w:val="00D737A0"/>
    <w:rsid w:val="00D962D6"/>
    <w:rsid w:val="00DA3EA3"/>
    <w:rsid w:val="00DA5735"/>
    <w:rsid w:val="00DB5A7D"/>
    <w:rsid w:val="00DB5CBA"/>
    <w:rsid w:val="00DB7647"/>
    <w:rsid w:val="00DC3A9E"/>
    <w:rsid w:val="00DC743E"/>
    <w:rsid w:val="00DC7C10"/>
    <w:rsid w:val="00DD2CCC"/>
    <w:rsid w:val="00DE40CD"/>
    <w:rsid w:val="00DE6366"/>
    <w:rsid w:val="00E00EC3"/>
    <w:rsid w:val="00E12464"/>
    <w:rsid w:val="00E33D31"/>
    <w:rsid w:val="00E35B2A"/>
    <w:rsid w:val="00E3670A"/>
    <w:rsid w:val="00E37166"/>
    <w:rsid w:val="00E7457E"/>
    <w:rsid w:val="00E92629"/>
    <w:rsid w:val="00EA0E46"/>
    <w:rsid w:val="00EA57D7"/>
    <w:rsid w:val="00EA638D"/>
    <w:rsid w:val="00EA705F"/>
    <w:rsid w:val="00EB435E"/>
    <w:rsid w:val="00EC3477"/>
    <w:rsid w:val="00EC393F"/>
    <w:rsid w:val="00ED08FB"/>
    <w:rsid w:val="00ED6E2A"/>
    <w:rsid w:val="00EE1B02"/>
    <w:rsid w:val="00EF21A7"/>
    <w:rsid w:val="00EF4916"/>
    <w:rsid w:val="00EF7626"/>
    <w:rsid w:val="00EF7CF9"/>
    <w:rsid w:val="00F035CF"/>
    <w:rsid w:val="00F03FC5"/>
    <w:rsid w:val="00F066A4"/>
    <w:rsid w:val="00F317D2"/>
    <w:rsid w:val="00F37DC1"/>
    <w:rsid w:val="00F42C55"/>
    <w:rsid w:val="00F43B7A"/>
    <w:rsid w:val="00F46336"/>
    <w:rsid w:val="00F5278E"/>
    <w:rsid w:val="00F6346B"/>
    <w:rsid w:val="00F70C75"/>
    <w:rsid w:val="00F857A6"/>
    <w:rsid w:val="00F90E40"/>
    <w:rsid w:val="00F9408B"/>
    <w:rsid w:val="00FA03C8"/>
    <w:rsid w:val="00FB0C5D"/>
    <w:rsid w:val="00FB542E"/>
    <w:rsid w:val="00FC2C53"/>
    <w:rsid w:val="00FC567F"/>
    <w:rsid w:val="00FD35E6"/>
    <w:rsid w:val="00FE0302"/>
    <w:rsid w:val="00FE3D65"/>
    <w:rsid w:val="00FE4737"/>
    <w:rsid w:val="00FF194A"/>
    <w:rsid w:val="00FF246B"/>
    <w:rsid w:val="00FF36F8"/>
    <w:rsid w:val="00FF4E88"/>
    <w:rsid w:val="02C144E2"/>
    <w:rsid w:val="049C4842"/>
    <w:rsid w:val="18194D16"/>
    <w:rsid w:val="2B202E40"/>
    <w:rsid w:val="2B341D16"/>
    <w:rsid w:val="2CC74E3E"/>
    <w:rsid w:val="31890686"/>
    <w:rsid w:val="325B2640"/>
    <w:rsid w:val="34633A4D"/>
    <w:rsid w:val="378E5075"/>
    <w:rsid w:val="38E52A8E"/>
    <w:rsid w:val="39581284"/>
    <w:rsid w:val="46CA40CA"/>
    <w:rsid w:val="4B2049E7"/>
    <w:rsid w:val="4F1262FE"/>
    <w:rsid w:val="555D02CE"/>
    <w:rsid w:val="59F27811"/>
    <w:rsid w:val="63834F41"/>
    <w:rsid w:val="646429A5"/>
    <w:rsid w:val="6500098B"/>
    <w:rsid w:val="6E375DB5"/>
    <w:rsid w:val="744A1193"/>
    <w:rsid w:val="79F10518"/>
    <w:rsid w:val="7DC81004"/>
    <w:rsid w:val="7EA26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9"/>
    <w:qFormat/>
    <w:uiPriority w:val="0"/>
    <w:pPr>
      <w:ind w:firstLine="420"/>
    </w:pPr>
    <w:rPr>
      <w:rFonts w:eastAsia="楷体"/>
      <w:spacing w:val="20"/>
      <w:sz w:val="28"/>
      <w:szCs w:val="20"/>
    </w:rPr>
  </w:style>
  <w:style w:type="paragraph" w:styleId="3">
    <w:name w:val="Document Map"/>
    <w:basedOn w:val="1"/>
    <w:link w:val="20"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2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eastAsia="仿宋_GB2312"/>
      <w:kern w:val="0"/>
      <w:sz w:val="28"/>
    </w:rPr>
  </w:style>
  <w:style w:type="paragraph" w:styleId="6">
    <w:name w:val="endnote text"/>
    <w:basedOn w:val="1"/>
    <w:link w:val="22"/>
    <w:autoRedefine/>
    <w:qFormat/>
    <w:uiPriority w:val="0"/>
    <w:pPr>
      <w:snapToGrid w:val="0"/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4"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annotation subject"/>
    <w:basedOn w:val="4"/>
    <w:next w:val="4"/>
    <w:link w:val="25"/>
    <w:autoRedefine/>
    <w:qFormat/>
    <w:uiPriority w:val="0"/>
    <w:rPr>
      <w:b/>
      <w:bCs/>
    </w:rPr>
  </w:style>
  <w:style w:type="character" w:styleId="14">
    <w:name w:val="Strong"/>
    <w:autoRedefine/>
    <w:qFormat/>
    <w:uiPriority w:val="0"/>
    <w:rPr>
      <w:b/>
      <w:bCs/>
    </w:rPr>
  </w:style>
  <w:style w:type="character" w:styleId="15">
    <w:name w:val="endnote reference"/>
    <w:autoRedefine/>
    <w:qFormat/>
    <w:uiPriority w:val="0"/>
    <w:rPr>
      <w:vertAlign w:val="superscript"/>
    </w:rPr>
  </w:style>
  <w:style w:type="character" w:styleId="16">
    <w:name w:val="page number"/>
    <w:autoRedefine/>
    <w:qFormat/>
    <w:uiPriority w:val="0"/>
  </w:style>
  <w:style w:type="character" w:styleId="17">
    <w:name w:val="annotation reference"/>
    <w:autoRedefine/>
    <w:qFormat/>
    <w:uiPriority w:val="0"/>
    <w:rPr>
      <w:sz w:val="21"/>
      <w:szCs w:val="21"/>
    </w:rPr>
  </w:style>
  <w:style w:type="character" w:styleId="18">
    <w:name w:val="footnote reference"/>
    <w:autoRedefine/>
    <w:qFormat/>
    <w:uiPriority w:val="0"/>
    <w:rPr>
      <w:vertAlign w:val="superscript"/>
    </w:rPr>
  </w:style>
  <w:style w:type="character" w:customStyle="1" w:styleId="19">
    <w:name w:val="正文缩进 字符"/>
    <w:link w:val="2"/>
    <w:autoRedefine/>
    <w:qFormat/>
    <w:locked/>
    <w:uiPriority w:val="0"/>
    <w:rPr>
      <w:rFonts w:eastAsia="楷体"/>
      <w:spacing w:val="20"/>
      <w:kern w:val="2"/>
      <w:sz w:val="28"/>
    </w:rPr>
  </w:style>
  <w:style w:type="character" w:customStyle="1" w:styleId="20">
    <w:name w:val="文档结构图 字符"/>
    <w:link w:val="3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批注文字 字符"/>
    <w:link w:val="4"/>
    <w:autoRedefine/>
    <w:qFormat/>
    <w:uiPriority w:val="0"/>
    <w:rPr>
      <w:kern w:val="2"/>
      <w:sz w:val="21"/>
      <w:szCs w:val="24"/>
    </w:rPr>
  </w:style>
  <w:style w:type="character" w:customStyle="1" w:styleId="22">
    <w:name w:val="尾注文本 字符"/>
    <w:link w:val="6"/>
    <w:qFormat/>
    <w:uiPriority w:val="0"/>
    <w:rPr>
      <w:kern w:val="2"/>
      <w:sz w:val="21"/>
      <w:szCs w:val="24"/>
    </w:rPr>
  </w:style>
  <w:style w:type="character" w:customStyle="1" w:styleId="23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24">
    <w:name w:val="脚注文本 字符"/>
    <w:link w:val="10"/>
    <w:qFormat/>
    <w:uiPriority w:val="0"/>
    <w:rPr>
      <w:kern w:val="2"/>
      <w:sz w:val="18"/>
      <w:szCs w:val="18"/>
    </w:rPr>
  </w:style>
  <w:style w:type="character" w:customStyle="1" w:styleId="25">
    <w:name w:val="批注主题 字符"/>
    <w:link w:val="11"/>
    <w:qFormat/>
    <w:uiPriority w:val="0"/>
    <w:rPr>
      <w:b/>
      <w:bCs/>
      <w:kern w:val="2"/>
      <w:sz w:val="21"/>
      <w:szCs w:val="24"/>
    </w:rPr>
  </w:style>
  <w:style w:type="paragraph" w:customStyle="1" w:styleId="26">
    <w:name w:val="Char Char1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Times New Roman"/>
      <w:kern w:val="0"/>
      <w:sz w:val="20"/>
      <w:szCs w:val="20"/>
      <w:lang w:eastAsia="en-US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8">
    <w:name w:val=" Char Char Char Char"/>
    <w:basedOn w:val="1"/>
    <w:qFormat/>
    <w:uiPriority w:val="0"/>
    <w:rPr>
      <w:rFonts w:eastAsia="仿宋_GB2312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VIP专用版</Company>
  <Pages>3</Pages>
  <Words>200</Words>
  <Characters>1145</Characters>
  <Lines>9</Lines>
  <Paragraphs>2</Paragraphs>
  <TotalTime>2</TotalTime>
  <ScaleCrop>false</ScaleCrop>
  <LinksUpToDate>false</LinksUpToDate>
  <CharactersWithSpaces>1343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2014-11-10T09:32:00Z</dcterms:created>
  <dc:creator>Haiwen</dc:creator>
  <cp:lastModifiedBy>NTKO</cp:lastModifiedBy>
  <cp:lastPrinted>2024-05-10T01:29:00Z</cp:lastPrinted>
  <dcterms:modified xsi:type="dcterms:W3CDTF">2026-06-09T00:38:34Z</dcterms:modified>
  <dc:title>证券代码：002142   证券简称：宁波银行   公告编号：2009-011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E1389B049C434EDBA2CF39A2F37E401D_13</vt:lpwstr>
  </property>
</Properties>
</file>