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浦银理财天添利现金宝26号</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2301239405</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销售代码：2301232614/2501251601/2501251602</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Z7006923000525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2023-12-20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646,287,089.87</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2301232614:中国人民银行公布的同期7天通知存款利率</w:t>
              <w:br w:type="textWrapping"/>
              <w:t>2501251601:中国人民银行公布的同期7天通知存款利率</w:t>
              <w:br w:type="textWrapping"/>
              <w:t>2501251602:中国人民银行公布的同期7天通知存款利率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2301239405</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646,287,089.87</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2301232614-A:1.0000</w:t>
              <w:br w:type="textWrapping"/>
              <w:t>2501251601-A:1.0000</w:t>
              <w:br w:type="textWrapping"/>
              <w:t>2501251602-A:1.0000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2301232614-A:-</w:t>
              <w:br w:type="textWrapping"/>
              <w:t>2501251601-A:-</w:t>
              <w:br w:type="textWrapping"/>
              <w:t>2501251602-A:-</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2301232614-A:0.2909</w:t>
              <w:br w:type="textWrapping"/>
              <w:t>2501251601-A:0.3183</w:t>
              <w:br w:type="textWrapping"/>
              <w:t>2501251602-A:0.2909</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2301232614-A:0.0107</w:t>
              <w:br w:type="textWrapping"/>
              <w:t>2501251601-A:0.0117</w:t>
              <w:br w:type="textWrapping"/>
              <w:t>2501251602-A:0.0107</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40B7B">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40B7B">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40B7B">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40B7B"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634,837,054.43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98.21%</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635,118,014.66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98.25%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4,660,265.23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0.72%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6,648,350.68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11,589,576.14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1.79%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646,426,630.57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646,426,630.57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投资策略和组合流动性风险分析：本报告期内，组合积极调整持仓结构，信用债等票息类资产作为底仓，视市场情况调整杠杆比例，增厚组合收益。风险控制方面，本产品严格控制久期，并分散化配置资产，注重产品的流动性安全，各项流动性指标均符合监管要求。</w:t>
      </w:r>
    </w:p>
    <w:p w:rsidR="009050D9" w:rsidRPr="009050D9" w:rsidRDefault="009050D9" w:rsidP="009050D9">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附：本报告期内，本产品理财投资合作机构为“中诚信托有限责任公司、建信信托有限责任公司、中国对外经济贸易信托有限公司、华润深国投信托有限公司”。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634,837,054.43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98.23%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9,523,066.21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1.47%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中诚信托-丰景15号集合资金信托计划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982,955.38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0.15%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外贸信托-永欣1号集合资金信托计划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608,754.42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0.09%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中诚信托-丰景5号集合资金信托计划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474,800.13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0.07%</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Pr="00275B7C" w:rsidRDefault="00DE496A" w:rsidP="006508A1">
      <w:pPr>
        <w:snapToGrid w:val="0"/>
        <w:spacing w:line="360" w:lineRule="auto"/>
        <w:ind w:firstLine="480"/>
        <w:rPr>
          <w:rFonts w:ascii="仿宋_GB2312" w:eastAsia="仿宋_GB2312"/>
          <w:b/>
          <w:sz w:val="24"/>
          <w:szCs w:val="24"/>
        </w:rPr>
      </w:pPr>
      <w:bookmarkStart w:id="0" w:name="_GoBack"/>
      <w:bookmarkEnd w:id="0"/>
      <w:r w:rsidRPr="00275B7C">
        <w:rPr>
          <w:rFonts w:ascii="仿宋_GB2312" w:eastAsia="仿宋_GB2312" w:hAnsiTheme="minorEastAsia"/>
          <w:bCs/>
          <w:sz w:val="24"/>
          <w:szCs w:val="24"/>
        </w:rPr>
        <w:t>2.截至期末，上述非标准化债权未出现无法履行本金及收益兑付的实际情况。</w:t>
      </w:r>
      <w:r w:rsidR="006508A1" w:rsidRPr="00275B7C">
        <w:rPr>
          <w:rFonts w:ascii="仿宋_GB2312" w:eastAsia="仿宋_GB2312"/>
          <w:b/>
          <w:sz w:val="24"/>
          <w:szCs w:val="24"/>
        </w:rPr>
        <w:t xml:space="preserve"> </w:t>
      </w:r>
    </w:p>
    <w:p w:rsidR="00F63FAF" w:rsidRPr="00275B7C"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hint="eastAsia"/>
          <w:bCs/>
          <w:sz w:val="24"/>
          <w:szCs w:val="24"/>
        </w:rPr>
        <w:t>3</w:t>
      </w:r>
      <w:r w:rsidRPr="00275B7C">
        <w:rPr>
          <w:rFonts w:ascii="仿宋_GB2312" w:eastAsia="仿宋_GB2312" w:hAnsiTheme="minorEastAsia"/>
          <w:bCs/>
          <w:sz w:val="24"/>
          <w:szCs w:val="24"/>
        </w:rPr>
        <w:t>.</w:t>
      </w:r>
      <w:r w:rsidRPr="00275B7C">
        <w:rPr>
          <w:rFonts w:ascii="仿宋_GB2312" w:eastAsia="仿宋_GB2312" w:hAnsiTheme="minorEastAsia" w:hint="eastAsia"/>
          <w:bCs/>
          <w:sz w:val="24"/>
          <w:szCs w:val="24"/>
        </w:rPr>
        <w:t>剩余融资期限指本报告期末（含）至项目到期日（不含）的天数。</w:t>
      </w:r>
    </w:p>
    <w:p w:rsidR="00F63FAF"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bCs/>
          <w:sz w:val="24"/>
          <w:szCs w:val="24"/>
        </w:rPr>
        <w:t>4.</w:t>
      </w:r>
      <w:r w:rsidRPr="00275B7C">
        <w:rPr>
          <w:rFonts w:ascii="仿宋_GB2312" w:eastAsia="仿宋_GB2312" w:hAnsiTheme="minorEastAsia" w:hint="eastAsia"/>
          <w:bCs/>
          <w:sz w:val="24"/>
          <w:szCs w:val="24"/>
        </w:rPr>
        <w:t>以上为本报告期末理财产品持有的非标准化债权资产，投资者可至销售机构的信息披露渠道查询产品报告期间持有的每笔非标准化债权类资产信息。</w:t>
      </w:r>
    </w:p>
    <w:p w:rsidR="00F63FAF" w:rsidRPr="006508A1" w:rsidRDefault="00F63FAF" w:rsidP="00F63FAF">
      <w:pPr>
        <w:snapToGrid w:val="0"/>
        <w:spacing w:line="360" w:lineRule="auto"/>
        <w:ind w:firstLine="480"/>
        <w:rPr>
          <w:rFonts w:ascii="仿宋_GB2312" w:eastAsia="仿宋_GB2312" w:hAnsiTheme="minorEastAsia"/>
          <w:bCs/>
          <w:sz w:val="24"/>
          <w:szCs w:val="24"/>
        </w:rPr>
      </w:pPr>
    </w:p>
    <w:p w:rsidR="00310434" w:rsidRPr="00673698" w:rsidRDefault="00310434" w:rsidP="00310434">
      <w:pPr>
        <w:snapToGrid w:val="0"/>
        <w:spacing w:line="360" w:lineRule="auto"/>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5. 投资者信息</w:t>
      </w: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 xml:space="preserve">5.1 </w:t>
      </w:r>
      <w:r w:rsidR="00CC27D0" w:rsidRPr="00CC27D0">
        <w:rPr>
          <w:rFonts w:ascii="仿宋_GB2312" w:eastAsia="仿宋_GB2312" w:hAnsi="宋体" w:hint="eastAsia"/>
          <w:b/>
          <w:color w:val="000000" w:themeColor="text1"/>
          <w:sz w:val="28"/>
          <w:szCs w:val="24"/>
        </w:rPr>
        <w:t>报告期末产品</w:t>
      </w:r>
      <w:r w:rsidRPr="00673698">
        <w:rPr>
          <w:rFonts w:ascii="仿宋_GB2312" w:eastAsia="仿宋_GB2312" w:hAnsi="宋体" w:hint="eastAsia"/>
          <w:b/>
          <w:color w:val="000000" w:themeColor="text1"/>
          <w:sz w:val="28"/>
          <w:szCs w:val="24"/>
        </w:rPr>
        <w:t>前十大投资者</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3119"/>
        <w:gridCol w:w="1843"/>
        <w:gridCol w:w="2976"/>
      </w:tblGrid>
      <w:tr w:rsidR="004D53B0" w:rsidTr="006A530B">
        <w:trPr>
          <w:trHeight w:val="334"/>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bCs/>
                <w:sz w:val="24"/>
                <w:szCs w:val="24"/>
              </w:rPr>
              <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投资者类别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金额（元）</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占产品规模比例</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50696729.57</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7.84%</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20277614.46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3.14%</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16809297.47</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2.60%</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9843080.26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1.52%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9182513.86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1.42%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7251924.34</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1.12%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4984242.37</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0.77%</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4829536.82</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0.75%</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4654972.90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0.72%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4531328.86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0.70%</w:t>
            </w:r>
          </w:p>
        </w:tc>
      </w:tr>
    </w:tbl>
    <w:p w:rsidR="00310434" w:rsidRPr="004D53B0" w:rsidRDefault="00310434" w:rsidP="00310434">
      <w:pPr>
        <w:snapToGrid w:val="0"/>
        <w:spacing w:line="360" w:lineRule="auto"/>
        <w:ind w:firstLineChars="200" w:firstLine="482"/>
        <w:rPr>
          <w:rFonts w:ascii="仿宋_GB2312" w:eastAsia="仿宋_GB2312" w:hAnsi="宋体"/>
          <w:b/>
          <w:color w:val="000000" w:themeColor="text1"/>
          <w:sz w:val="24"/>
          <w:szCs w:val="24"/>
        </w:rPr>
      </w:pP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lastRenderedPageBreak/>
        <w:t xml:space="preserve">5.2 </w:t>
      </w:r>
      <w:r w:rsidR="00CC27D0" w:rsidRPr="00CC27D0">
        <w:rPr>
          <w:rFonts w:ascii="仿宋_GB2312" w:eastAsia="仿宋_GB2312" w:hAnsi="宋体" w:hint="eastAsia"/>
          <w:b/>
          <w:color w:val="000000" w:themeColor="text1"/>
          <w:sz w:val="28"/>
          <w:szCs w:val="24"/>
        </w:rPr>
        <w:t>报告期内</w:t>
      </w:r>
      <w:r w:rsidRPr="00673698">
        <w:rPr>
          <w:rFonts w:ascii="仿宋_GB2312" w:eastAsia="仿宋_GB2312" w:hAnsi="宋体" w:hint="eastAsia"/>
          <w:b/>
          <w:color w:val="000000" w:themeColor="text1"/>
          <w:sz w:val="28"/>
          <w:szCs w:val="24"/>
        </w:rPr>
        <w:t>持有份额达到或者超过20%的单一投资者</w:t>
      </w:r>
    </w:p>
    <w:tbl>
      <w:tblPr>
        <w:tblStyle w:val="ab"/>
        <w:tblpPr w:leftFromText="189" w:rightFromText="189" w:vertAnchor="text"/>
        <w:tblW w:w="9606" w:type="dxa"/>
        <w:tblLayout w:type="fixed"/>
        <w:tblLook w:val="04A0" w:firstRow="1" w:lastRow="0" w:firstColumn="1" w:lastColumn="0" w:noHBand="0" w:noVBand="1"/>
      </w:tblPr>
      <w:tblGrid>
        <w:gridCol w:w="736"/>
        <w:gridCol w:w="1640"/>
        <w:gridCol w:w="993"/>
        <w:gridCol w:w="1701"/>
        <w:gridCol w:w="1559"/>
        <w:gridCol w:w="1701"/>
        <w:gridCol w:w="1276"/>
      </w:tblGrid>
      <w:tr w:rsidR="0016364F" w:rsidRPr="00105BC9" w:rsidTr="002A3E7B">
        <w:trPr>
          <w:trHeight w:val="224"/>
        </w:trPr>
        <w:tc>
          <w:tcPr>
            <w:tcW w:w="736" w:type="dxa"/>
            <w:vAlign w:val="center"/>
            <w:hideMark/>
          </w:tcPr>
          <w:p w:rsidR="0016364F" w:rsidRPr="00105BC9" w:rsidRDefault="0016364F" w:rsidP="002A3E7B">
            <w:pPr>
              <w:snapToGrid w:val="0"/>
              <w:spacing w:line="360" w:lineRule="auto"/>
              <w:jc w:val="center"/>
              <w:textAlignment w:val="center"/>
              <w:rPr>
                <w:rFonts w:ascii="仿宋_GB2312" w:eastAsia="仿宋_GB2312" w:hAnsi="宋体"/>
                <w:sz w:val="24"/>
              </w:rPr>
            </w:pPr>
            <w:r w:rsidRPr="00105BC9">
              <w:rPr>
                <w:rFonts w:ascii="仿宋_GB2312" w:eastAsia="仿宋_GB2312" w:hAnsi="宋体" w:hint="eastAsia"/>
                <w:sz w:val="24"/>
              </w:rPr>
              <w:t>序号</w:t>
            </w:r>
            <w:r w:rsidR="006A530B">
              <w:rPr>
                <w:rFonts w:ascii="仿宋_GB2312" w:eastAsia="仿宋_GB2312" w:hAnsi="宋体" w:hint="eastAsia"/>
                <w:sz w:val="24"/>
              </w:rPr>
              <w:t/>
            </w:r>
          </w:p>
        </w:tc>
        <w:tc>
          <w:tcPr>
            <w:tcW w:w="1640" w:type="dxa"/>
            <w:vAlign w:val="center"/>
          </w:tcPr>
          <w:p w:rsidR="0016364F" w:rsidRPr="00105BC9" w:rsidRDefault="0016364F" w:rsidP="002A3E7B">
            <w:pPr>
              <w:snapToGrid w:val="0"/>
              <w:spacing w:line="360" w:lineRule="auto"/>
              <w:jc w:val="center"/>
              <w:textAlignment w:val="center"/>
              <w:rPr>
                <w:rFonts w:ascii="仿宋_GB2312" w:eastAsia="仿宋_GB2312" w:hAnsi="宋体"/>
                <w:sz w:val="24"/>
              </w:rPr>
            </w:pPr>
            <w:r>
              <w:rPr>
                <w:rFonts w:ascii="仿宋_GB2312" w:eastAsia="仿宋_GB2312" w:hAnsi="宋体" w:hint="eastAsia"/>
                <w:sz w:val="24"/>
              </w:rPr>
              <w:t>日期</w:t>
            </w:r>
          </w:p>
        </w:tc>
        <w:tc>
          <w:tcPr>
            <w:tcW w:w="993" w:type="dxa"/>
            <w:vAlign w:val="center"/>
            <w:hideMark/>
          </w:tcPr>
          <w:p w:rsidR="0016364F" w:rsidRPr="00105BC9" w:rsidRDefault="0016364F" w:rsidP="002A3E7B">
            <w:pPr>
              <w:snapToGrid w:val="0"/>
              <w:spacing w:line="360" w:lineRule="auto"/>
              <w:jc w:val="center"/>
              <w:rPr>
                <w:rFonts w:ascii="仿宋_GB2312" w:eastAsia="仿宋_GB2312" w:hAnsi="宋体"/>
                <w:color w:val="000000"/>
                <w:sz w:val="24"/>
              </w:rPr>
            </w:pPr>
            <w:r w:rsidRPr="00105BC9">
              <w:rPr>
                <w:rFonts w:ascii="仿宋_GB2312" w:eastAsia="仿宋_GB2312" w:hAnsi="宋体" w:hint="eastAsia"/>
                <w:sz w:val="24"/>
              </w:rPr>
              <w:t>投资者类别</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w:t>
            </w:r>
          </w:p>
        </w:tc>
        <w:tc>
          <w:tcPr>
            <w:tcW w:w="1559"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持有份额占总份额比例</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持有份额变化情况</w:t>
            </w:r>
          </w:p>
        </w:tc>
        <w:tc>
          <w:tcPr>
            <w:tcW w:w="1276"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产品风险信息</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r>
    </w:tbl>
    <w:p w:rsidR="00310434" w:rsidRPr="0016364F" w:rsidRDefault="00310434" w:rsidP="009D54D8">
      <w:pPr>
        <w:snapToGrid w:val="0"/>
        <w:spacing w:line="360" w:lineRule="auto"/>
        <w:rPr>
          <w:rFonts w:ascii="仿宋_GB2312" w:eastAsia="仿宋_GB2312"/>
          <w:b/>
          <w:sz w:val="24"/>
          <w:szCs w:val="24"/>
        </w:rPr>
      </w:pPr>
    </w:p>
    <w:p w:rsidR="009D54D8" w:rsidRPr="00673698" w:rsidRDefault="00A71EBD"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6.</w:t>
      </w:r>
      <w:r w:rsidR="009D54D8" w:rsidRPr="00673698">
        <w:rPr>
          <w:rFonts w:ascii="仿宋_GB2312" w:eastAsia="仿宋_GB2312" w:hint="eastAsia"/>
          <w:b/>
          <w:sz w:val="28"/>
          <w:szCs w:val="24"/>
        </w:rPr>
        <w:t>关联交易</w:t>
      </w:r>
    </w:p>
    <w:p w:rsidR="00F63FAF" w:rsidRPr="00C53238" w:rsidRDefault="00F63FAF" w:rsidP="00F63FAF">
      <w:pPr>
        <w:rPr>
          <w:rFonts w:ascii="仿宋_GB2312" w:eastAsia="仿宋_GB2312" w:hAnsi="仿宋_GB2312" w:cs="仿宋_GB2312"/>
          <w:b/>
          <w:sz w:val="28"/>
        </w:rPr>
      </w:pPr>
      <w:r>
        <w:rPr>
          <w:rFonts w:ascii="仿宋_GB2312" w:eastAsia="仿宋_GB2312" w:hAnsi="仿宋_GB2312" w:cs="仿宋_GB2312"/>
          <w:b/>
          <w:sz w:val="28"/>
        </w:rPr>
        <w:t>6.1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25广西北部湾银行CD062</w:t>
            </w:r>
          </w:p>
        </w:tc>
        <w:tc>
          <w:tcPr>
            <w:tcW w:w="1571" w:type="dxa"/>
            <w:vAlign w:val="center"/>
          </w:tcPr>
          <w:p w:rsidR="00357E79" w:rsidRDefault="00F621F3">
            <w:pPr>
              <w:jc w:val="center"/>
            </w:pPr>
            <w:r>
              <w:rPr>
                <w:rFonts w:ascii="仿宋_GB2312" w:eastAsia="仿宋_GB2312" w:hAnsi="仿宋_GB2312" w:cs="仿宋_GB2312"/>
                <w:sz w:val="24"/>
              </w:rPr>
              <w:t>1813142.13</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198847.31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26南航租赁SCP001</w:t>
            </w:r>
          </w:p>
        </w:tc>
        <w:tc>
          <w:tcPr>
            <w:tcW w:w="1571" w:type="dxa"/>
            <w:vAlign w:val="center"/>
          </w:tcPr>
          <w:p w:rsidR="00357E79" w:rsidRDefault="00F621F3">
            <w:pPr>
              <w:jc w:val="center"/>
            </w:pPr>
            <w:r>
              <w:rPr>
                <w:rFonts w:ascii="仿宋_GB2312" w:eastAsia="仿宋_GB2312" w:hAnsi="仿宋_GB2312" w:cs="仿宋_GB2312"/>
                <w:sz w:val="24"/>
              </w:rPr>
              <w:t>614273.27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23晋能电力MTN007</w:t>
            </w:r>
          </w:p>
        </w:tc>
        <w:tc>
          <w:tcPr>
            <w:tcW w:w="1571" w:type="dxa"/>
            <w:vAlign w:val="center"/>
          </w:tcPr>
          <w:p w:rsidR="00357E79" w:rsidRDefault="00F621F3">
            <w:pPr>
              <w:jc w:val="center"/>
            </w:pPr>
            <w:r>
              <w:rPr>
                <w:rFonts w:ascii="仿宋_GB2312" w:eastAsia="仿宋_GB2312" w:hAnsi="仿宋_GB2312" w:cs="仿宋_GB2312"/>
                <w:sz w:val="24"/>
              </w:rPr>
              <w:t>6381017.67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369144.40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25国泰海通CP005</w:t>
            </w:r>
          </w:p>
        </w:tc>
        <w:tc>
          <w:tcPr>
            <w:tcW w:w="1571" w:type="dxa"/>
            <w:vAlign w:val="center"/>
          </w:tcPr>
          <w:p w:rsidR="00357E79" w:rsidRDefault="00F621F3">
            <w:pPr>
              <w:jc w:val="center"/>
            </w:pPr>
            <w:r>
              <w:rPr>
                <w:rFonts w:ascii="仿宋_GB2312" w:eastAsia="仿宋_GB2312" w:hAnsi="仿宋_GB2312" w:cs="仿宋_GB2312"/>
                <w:sz w:val="24"/>
              </w:rPr>
              <w:t>4968237.79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bl>
    <w:p w:rsidR="00F63FAF" w:rsidRDefault="00F63FAF" w:rsidP="00F63FAF">
      <w:r>
        <w:rPr>
          <w:rFonts w:ascii="仿宋_GB2312" w:eastAsia="仿宋_GB2312" w:hAnsi="仿宋_GB2312" w:cs="仿宋_GB2312"/>
          <w:b/>
          <w:sz w:val="28"/>
        </w:rPr>
        <w:t>6.2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报告期内应付管理费金额（元）</w:t>
            </w:r>
          </w:p>
        </w:tc>
        <w:tc>
          <w:tcPr>
            <w:tcW w:w="4000" w:type="dxa"/>
            <w:vAlign w:val="center"/>
          </w:tcPr>
          <w:p w:rsidR="00357E79" w:rsidRDefault="006E6E1D">
            <w:pPr>
              <w:jc w:val="center"/>
            </w:pPr>
            <w:r>
              <w:rPr>
                <w:rFonts w:ascii="仿宋_GB2312" w:eastAsia="仿宋_GB2312" w:hAnsi="仿宋_GB2312" w:cs="仿宋_GB2312"/>
                <w:sz w:val="24"/>
              </w:rPr>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F63FAF" w:rsidP="00F63FAF">
      <w:r>
        <w:rPr>
          <w:rFonts w:ascii="仿宋_GB2312" w:eastAsia="仿宋_GB2312" w:hAnsi="仿宋_GB2312" w:cs="仿宋_GB2312"/>
          <w:b/>
          <w:sz w:val="28"/>
        </w:rPr>
        <w:t>6.3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w:t>
            </w:r>
          </w:p>
        </w:tc>
        <w:tc>
          <w:tcPr>
            <w:tcW w:w="1458" w:type="dxa"/>
            <w:vAlign w:val="center"/>
          </w:tcPr>
          <w:p w:rsidR="00F82AF6" w:rsidRDefault="00F82AF6" w:rsidP="00F82AF6">
            <w:pPr>
              <w:jc w:val="center"/>
            </w:pPr>
            <w:r>
              <w:rPr>
                <w:rFonts w:ascii="仿宋_GB2312" w:eastAsia="仿宋_GB2312" w:hAnsi="仿宋_GB2312" w:cs="仿宋_GB2312"/>
                <w:sz w:val="24"/>
              </w:rPr>
              <w:t>-</w:t>
            </w:r>
          </w:p>
        </w:tc>
        <w:tc>
          <w:tcPr>
            <w:tcW w:w="1684" w:type="dxa"/>
            <w:vAlign w:val="center"/>
          </w:tcPr>
          <w:p w:rsidR="00F82AF6" w:rsidRDefault="00F82AF6" w:rsidP="00F82AF6">
            <w:pPr>
              <w:jc w:val="center"/>
            </w:pPr>
            <w:r>
              <w:rPr>
                <w:rFonts w:ascii="仿宋_GB2312" w:eastAsia="仿宋_GB2312" w:hAnsi="仿宋_GB2312" w:cs="仿宋_GB2312"/>
                <w:sz w:val="24"/>
              </w:rPr>
              <w:t>-</w:t>
            </w:r>
          </w:p>
        </w:tc>
        <w:tc>
          <w:tcPr>
            <w:tcW w:w="1571" w:type="dxa"/>
            <w:vAlign w:val="center"/>
          </w:tcPr>
          <w:p w:rsidR="00F82AF6" w:rsidRDefault="00F82AF6" w:rsidP="00F82AF6">
            <w:pPr>
              <w:jc w:val="center"/>
            </w:pPr>
            <w:r>
              <w:rPr>
                <w:rFonts w:ascii="仿宋_GB2312" w:eastAsia="仿宋_GB2312" w:hAnsi="仿宋_GB2312" w:cs="仿宋_GB2312"/>
                <w:sz w:val="24"/>
              </w:rPr>
              <w:t>-</w:t>
            </w:r>
          </w:p>
        </w:tc>
        <w:tc>
          <w:tcPr>
            <w:tcW w:w="1910" w:type="dxa"/>
            <w:vAlign w:val="center"/>
          </w:tcPr>
          <w:p w:rsidR="00F82AF6" w:rsidRDefault="00F82AF6" w:rsidP="00F82AF6">
            <w:pPr>
              <w:jc w:val="center"/>
            </w:pPr>
            <w:r>
              <w:rPr>
                <w:rFonts w:ascii="仿宋_GB2312" w:eastAsia="仿宋_GB2312" w:hAnsi="仿宋_GB2312" w:cs="仿宋_GB2312" w:hint="eastAsia"/>
                <w:sz w:val="24"/>
              </w:rPr>
              <w:t>-</w:t>
            </w:r>
          </w:p>
        </w:tc>
      </w:tr>
    </w:tbl>
    <w:p w:rsidR="00F63FAF" w:rsidRDefault="00F63FAF" w:rsidP="00F63FAF">
      <w:r>
        <w:rPr>
          <w:rFonts w:ascii="仿宋_GB2312" w:eastAsia="仿宋_GB2312" w:hAnsi="仿宋_GB2312" w:cs="仿宋_GB2312"/>
          <w:b/>
          <w:sz w:val="28"/>
        </w:rPr>
        <w:t>6.4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52074.60</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7</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lastRenderedPageBreak/>
        <w:t xml:space="preserve"> </w:t>
      </w:r>
      <w:r w:rsidR="00561A35">
        <w:rPr>
          <w:rFonts w:ascii="仿宋_GB2312" w:eastAsia="仿宋_GB2312"/>
          <w:color w:val="000000"/>
          <w:sz w:val="24"/>
          <w:szCs w:val="24"/>
        </w:rPr>
        <w:t>无</w:t>
      </w:r>
    </w:p>
    <w:p w:rsidR="009F0B9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8</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AC" w:rsidRDefault="00DD67AC" w:rsidP="00E61C1A">
      <w:r>
        <w:separator/>
      </w:r>
    </w:p>
  </w:endnote>
  <w:endnote w:type="continuationSeparator" w:id="0">
    <w:p w:rsidR="00DD67AC" w:rsidRDefault="00DD67AC"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AC" w:rsidRDefault="00DD67AC" w:rsidP="00E61C1A">
      <w:r>
        <w:separator/>
      </w:r>
    </w:p>
  </w:footnote>
  <w:footnote w:type="continuationSeparator" w:id="0">
    <w:p w:rsidR="00DD67AC" w:rsidRDefault="00DD67AC"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2213E"/>
    <w:rsid w:val="00023644"/>
    <w:rsid w:val="0004385D"/>
    <w:rsid w:val="00045E04"/>
    <w:rsid w:val="00064FD2"/>
    <w:rsid w:val="00077F23"/>
    <w:rsid w:val="000868F8"/>
    <w:rsid w:val="000A1BF7"/>
    <w:rsid w:val="000D03B4"/>
    <w:rsid w:val="000E6BAE"/>
    <w:rsid w:val="000F0E27"/>
    <w:rsid w:val="00104F7B"/>
    <w:rsid w:val="00105597"/>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75B7C"/>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D6E14"/>
    <w:rsid w:val="004E1181"/>
    <w:rsid w:val="004E272F"/>
    <w:rsid w:val="004F4999"/>
    <w:rsid w:val="0050062C"/>
    <w:rsid w:val="00532B3C"/>
    <w:rsid w:val="005408B6"/>
    <w:rsid w:val="00540B7B"/>
    <w:rsid w:val="00542257"/>
    <w:rsid w:val="00545A62"/>
    <w:rsid w:val="00561A35"/>
    <w:rsid w:val="00564E1C"/>
    <w:rsid w:val="0058623B"/>
    <w:rsid w:val="005A4690"/>
    <w:rsid w:val="005B0E63"/>
    <w:rsid w:val="005E05A6"/>
    <w:rsid w:val="00607986"/>
    <w:rsid w:val="00622F95"/>
    <w:rsid w:val="006304A5"/>
    <w:rsid w:val="006508A1"/>
    <w:rsid w:val="00673698"/>
    <w:rsid w:val="00683E6A"/>
    <w:rsid w:val="006A530B"/>
    <w:rsid w:val="006C006D"/>
    <w:rsid w:val="006D009D"/>
    <w:rsid w:val="006D52E9"/>
    <w:rsid w:val="006E00B8"/>
    <w:rsid w:val="006E467D"/>
    <w:rsid w:val="006E6E1D"/>
    <w:rsid w:val="0070128A"/>
    <w:rsid w:val="00711809"/>
    <w:rsid w:val="00711E74"/>
    <w:rsid w:val="007167B6"/>
    <w:rsid w:val="0072364B"/>
    <w:rsid w:val="00741104"/>
    <w:rsid w:val="00745DD1"/>
    <w:rsid w:val="00765827"/>
    <w:rsid w:val="007661A0"/>
    <w:rsid w:val="00781652"/>
    <w:rsid w:val="007901AB"/>
    <w:rsid w:val="007C4AD3"/>
    <w:rsid w:val="007D042E"/>
    <w:rsid w:val="007E2254"/>
    <w:rsid w:val="008457EB"/>
    <w:rsid w:val="00870520"/>
    <w:rsid w:val="0087105A"/>
    <w:rsid w:val="0089262E"/>
    <w:rsid w:val="008A1CCB"/>
    <w:rsid w:val="008D2272"/>
    <w:rsid w:val="008D4921"/>
    <w:rsid w:val="009027FB"/>
    <w:rsid w:val="009050D9"/>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AE09FE"/>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C25F6"/>
    <w:rsid w:val="00DC4049"/>
    <w:rsid w:val="00DD67AC"/>
    <w:rsid w:val="00DD7BD2"/>
    <w:rsid w:val="00DE1F30"/>
    <w:rsid w:val="00DE496A"/>
    <w:rsid w:val="00E164A4"/>
    <w:rsid w:val="00E42D4C"/>
    <w:rsid w:val="00E61C1A"/>
    <w:rsid w:val="00E63347"/>
    <w:rsid w:val="00E927F9"/>
    <w:rsid w:val="00E970C7"/>
    <w:rsid w:val="00ED19C8"/>
    <w:rsid w:val="00EE13AE"/>
    <w:rsid w:val="00F1679D"/>
    <w:rsid w:val="00F31BD2"/>
    <w:rsid w:val="00F40369"/>
    <w:rsid w:val="00F44DBD"/>
    <w:rsid w:val="00F621F3"/>
    <w:rsid w:val="00F63FAF"/>
    <w:rsid w:val="00F711B3"/>
    <w:rsid w:val="00F82AF6"/>
    <w:rsid w:val="00F839FF"/>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28000547">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2025-07-21T09:01:00Z</dcterms:created>
  <dc:creator>DEVVDI02</dc:creator>
  <cp:lastModifiedBy>王岩</cp:lastModifiedBy>
  <dcterms:modified xsi:type="dcterms:W3CDTF">2025-07-21T09:01:00Z</dcterms:modified>
  <cp:revision>2</cp:revision>
</cp:coreProperties>
</file>