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C1A" w:rsidRPr="00673698" w:rsidRDefault="00E61C1A" w:rsidP="00E61C1A">
      <w:pPr>
        <w:snapToGrid w:val="0"/>
        <w:spacing w:line="360" w:lineRule="auto"/>
        <w:jc w:val="center"/>
        <w:rPr>
          <w:rFonts w:asciiTheme="majorEastAsia" w:eastAsiaTheme="majorEastAsia" w:hAnsiTheme="majorEastAsia"/>
          <w:b/>
          <w:bCs/>
          <w:szCs w:val="24"/>
          <w:vertAlign w:val="superscript"/>
        </w:rPr>
      </w:pPr>
      <w:r w:rsidRPr="00673698">
        <w:rPr>
          <w:rFonts w:asciiTheme="majorEastAsia" w:eastAsiaTheme="majorEastAsia" w:hAnsiTheme="majorEastAsia" w:hint="eastAsia"/>
          <w:b/>
          <w:bCs/>
          <w:color w:val="000000"/>
          <w:szCs w:val="24"/>
        </w:rPr>
        <w:t>公募理财产品定期</w:t>
      </w:r>
      <w:r w:rsidRPr="00673698">
        <w:rPr>
          <w:rFonts w:asciiTheme="majorEastAsia" w:eastAsiaTheme="majorEastAsia" w:hAnsiTheme="majorEastAsia" w:hint="eastAsia"/>
          <w:b/>
          <w:bCs/>
          <w:szCs w:val="24"/>
        </w:rPr>
        <w:t>报告</w:t>
      </w:r>
    </w:p>
    <w:p w:rsidR="00E61C1A" w:rsidRPr="00673698" w:rsidRDefault="00E61C1A" w:rsidP="00E61C1A">
      <w:pPr>
        <w:snapToGrid w:val="0"/>
        <w:spacing w:line="360" w:lineRule="auto"/>
        <w:rPr>
          <w:rFonts w:ascii="仿宋_GB2312" w:eastAsia="仿宋_GB2312"/>
          <w:b/>
          <w:bCs/>
          <w:sz w:val="28"/>
          <w:szCs w:val="24"/>
          <w:vertAlign w:val="superscript"/>
        </w:rPr>
      </w:pPr>
      <w:r w:rsidRPr="00673698">
        <w:rPr>
          <w:rFonts w:ascii="仿宋_GB2312" w:eastAsia="仿宋_GB2312" w:hint="eastAsia"/>
          <w:b/>
          <w:sz w:val="28"/>
          <w:szCs w:val="24"/>
        </w:rPr>
        <w:t>1</w:t>
      </w:r>
      <w:r w:rsidRPr="00673698">
        <w:rPr>
          <w:rFonts w:hint="eastAsia"/>
          <w:b/>
          <w:sz w:val="28"/>
          <w:szCs w:val="24"/>
        </w:rPr>
        <w:t> </w:t>
      </w:r>
      <w:r w:rsidRPr="00673698">
        <w:rPr>
          <w:rFonts w:ascii="仿宋_GB2312" w:eastAsia="仿宋_GB2312" w:hint="eastAsia"/>
          <w:b/>
          <w:sz w:val="28"/>
          <w:szCs w:val="24"/>
        </w:rPr>
        <w:t>.重要提示</w:t>
      </w:r>
    </w:p>
    <w:tbl>
      <w:tblPr>
        <w:tblW w:w="9072" w:type="dxa"/>
        <w:tblBorders>
          <w:top w:val="single" w:sz="4"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9072"/>
      </w:tblGrid>
      <w:tr w:rsidR="00E61C1A" w:rsidTr="00B00579">
        <w:trPr>
          <w:trHeight w:val="2514"/>
        </w:trPr>
        <w:tc>
          <w:tcPr>
            <w:tcW w:w="9072" w:type="dxa"/>
            <w:tcMar>
              <w:top w:w="0" w:type="dxa"/>
              <w:left w:w="108" w:type="dxa"/>
              <w:bottom w:w="0" w:type="dxa"/>
              <w:right w:w="108" w:type="dxa"/>
            </w:tcMar>
          </w:tcPr>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产品管理人保证本报告所载资料不存在虚假记载、误导性陈述或重大遗漏，并对其内容的真实性、准确性和完整性负责。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产品管理人承诺以诚实信用、勤勉尽责的原则管理和运用产品资产，但不保证产品一定盈利。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产品的过往业绩并不代表其未来表现。投资有风险，投资者在做出投资决策前应仔细阅读本产品的销售文件。</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本报告中财务资料未经审计。</w:t>
            </w:r>
          </w:p>
          <w:p w:rsidR="00E61C1A" w:rsidRDefault="00F63FAF" w:rsidP="00F63FAF">
            <w:pPr>
              <w:snapToGrid w:val="0"/>
              <w:spacing w:line="360" w:lineRule="auto"/>
              <w:ind w:firstLine="360"/>
              <w:jc w:val="left"/>
              <w:rPr>
                <w:rFonts w:ascii="仿宋_GB2312" w:eastAsia="仿宋_GB2312" w:hAnsi="Calibri" w:cs="宋体"/>
                <w:color w:val="404040"/>
                <w:sz w:val="24"/>
                <w:szCs w:val="24"/>
              </w:rPr>
            </w:pPr>
            <w:r>
              <w:rPr>
                <w:rFonts w:ascii="仿宋_GB2312" w:eastAsia="仿宋_GB2312" w:hint="eastAsia"/>
                <w:color w:val="000000"/>
                <w:sz w:val="24"/>
                <w:szCs w:val="24"/>
              </w:rPr>
              <w:t>产品管理人保留对本报告随时补充、更正和修订的权利，以及对所有文字说明的最终解释权。</w:t>
            </w:r>
          </w:p>
        </w:tc>
      </w:tr>
    </w:tbl>
    <w:p w:rsidR="00E61C1A" w:rsidRPr="00673698" w:rsidRDefault="00E61C1A" w:rsidP="00E61C1A">
      <w:pPr>
        <w:snapToGrid w:val="0"/>
        <w:spacing w:line="360" w:lineRule="auto"/>
        <w:rPr>
          <w:rFonts w:ascii="仿宋_GB2312" w:eastAsia="仿宋_GB2312"/>
          <w:b/>
          <w:sz w:val="28"/>
          <w:szCs w:val="24"/>
        </w:rPr>
      </w:pPr>
      <w:r w:rsidRPr="00673698">
        <w:rPr>
          <w:rFonts w:ascii="仿宋_GB2312" w:eastAsia="仿宋_GB2312" w:hint="eastAsia"/>
          <w:b/>
          <w:sz w:val="28"/>
          <w:szCs w:val="24"/>
        </w:rPr>
        <w:t>2.</w:t>
      </w:r>
      <w:r w:rsidRPr="00673698">
        <w:rPr>
          <w:rFonts w:ascii="仿宋_GB2312" w:eastAsia="仿宋_GB2312" w:hint="eastAsia"/>
          <w:b/>
          <w:sz w:val="28"/>
          <w:szCs w:val="24"/>
        </w:rPr>
        <w:t> </w:t>
      </w:r>
      <w:r w:rsidRPr="00673698">
        <w:rPr>
          <w:rFonts w:ascii="仿宋_GB2312" w:eastAsia="仿宋_GB2312" w:hint="eastAsia"/>
          <w:b/>
          <w:sz w:val="28"/>
          <w:szCs w:val="24"/>
        </w:rPr>
        <w:t>产品概况</w:t>
      </w:r>
    </w:p>
    <w:tbl>
      <w:tblPr>
        <w:tblW w:w="907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9"/>
        <w:gridCol w:w="4853"/>
      </w:tblGrid>
      <w:tr w:rsidR="00E61C1A" w:rsidTr="00B00579">
        <w:tc>
          <w:tcPr>
            <w:tcW w:w="4219" w:type="dxa"/>
            <w:tcMar>
              <w:top w:w="0" w:type="dxa"/>
              <w:left w:w="108" w:type="dxa"/>
              <w:bottom w:w="0" w:type="dxa"/>
              <w:right w:w="108" w:type="dxa"/>
            </w:tcMar>
            <w:vAlign w:val="center"/>
          </w:tcPr>
          <w:p w:rsidR="00E61C1A" w:rsidRDefault="00E61C1A" w:rsidP="00B00579">
            <w:pPr>
              <w:snapToGrid w:val="0"/>
              <w:spacing w:line="360" w:lineRule="auto"/>
              <w:ind w:firstLine="480"/>
              <w:jc w:val="center"/>
              <w:rPr>
                <w:rFonts w:ascii="仿宋_GB2312" w:eastAsia="仿宋_GB2312" w:hAnsi="Calibri" w:cs="宋体"/>
                <w:color w:val="FF0000"/>
                <w:sz w:val="24"/>
                <w:szCs w:val="24"/>
              </w:rPr>
            </w:pPr>
            <w:r w:rsidRPr="009106D5">
              <w:rPr>
                <w:rFonts w:ascii="仿宋_GB2312" w:eastAsia="仿宋_GB2312" w:hAnsiTheme="minorEastAsia" w:hint="eastAsia"/>
                <w:kern w:val="0"/>
                <w:sz w:val="24"/>
                <w:szCs w:val="24"/>
              </w:rPr>
              <w:t>产品名称</w:t>
            </w:r>
          </w:p>
        </w:tc>
        <w:tc>
          <w:tcPr>
            <w:tcW w:w="4853" w:type="dxa"/>
            <w:tcMar>
              <w:top w:w="0" w:type="dxa"/>
              <w:left w:w="108" w:type="dxa"/>
              <w:bottom w:w="0" w:type="dxa"/>
              <w:right w:w="108" w:type="dxa"/>
            </w:tcMar>
            <w:vAlign w:val="center"/>
          </w:tcPr>
          <w:p w:rsidR="00E61C1A" w:rsidRDefault="0002213E" w:rsidP="00B00579">
            <w:pPr>
              <w:snapToGrid w:val="0"/>
              <w:spacing w:line="360" w:lineRule="auto"/>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浦银理财双周鑫最短持有期42号理财产品</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产品代码</w:t>
            </w:r>
          </w:p>
        </w:tc>
        <w:tc>
          <w:tcPr>
            <w:tcW w:w="4853" w:type="dxa"/>
            <w:tcMar>
              <w:top w:w="0" w:type="dxa"/>
              <w:left w:w="108" w:type="dxa"/>
              <w:bottom w:w="0" w:type="dxa"/>
              <w:right w:w="108" w:type="dxa"/>
            </w:tcMar>
            <w:vAlign w:val="center"/>
          </w:tcPr>
          <w:p w:rsidR="00E61C1A" w:rsidRDefault="0002213E" w:rsidP="00D6056D">
            <w:pPr>
              <w:adjustRightInd w:val="0"/>
              <w:snapToGrid w:val="0"/>
              <w:spacing w:line="360" w:lineRule="auto"/>
              <w:jc w:val="center"/>
              <w:rPr>
                <w:rFonts w:ascii="仿宋_GB2312" w:eastAsia="仿宋_GB2312" w:hAnsiTheme="minorEastAsia"/>
                <w:color w:val="000000"/>
                <w:kern w:val="0"/>
                <w:sz w:val="24"/>
                <w:szCs w:val="24"/>
              </w:rPr>
            </w:pPr>
            <w:r>
              <w:rPr>
                <w:rFonts w:ascii="仿宋_GB2312" w:eastAsia="仿宋_GB2312" w:hAnsi="Calibri" w:cs="宋体"/>
                <w:color w:val="000000"/>
                <w:sz w:val="24"/>
                <w:szCs w:val="24"/>
              </w:rPr>
              <w:t>2301241672</w:t>
            </w:r>
            <w:r w:rsidR="00D6056D">
              <w:rPr>
                <w:rFonts w:ascii="仿宋_GB2312" w:eastAsia="仿宋_GB2312" w:hAnsi="Calibri" w:cs="宋体"/>
                <w:color w:val="000000"/>
                <w:sz w:val="24"/>
                <w:szCs w:val="24"/>
              </w:rPr>
              <w:t xml:space="preserve"> </w:t>
            </w:r>
            <w:r w:rsidR="00E61C1A">
              <w:rPr>
                <w:rFonts w:ascii="仿宋_GB2312" w:eastAsia="仿宋_GB2312" w:hAnsi="Calibri" w:cs="宋体"/>
                <w:color w:val="000000"/>
                <w:sz w:val="24"/>
                <w:szCs w:val="24"/>
              </w:rPr>
              <w:t>(</w:t>
            </w:r>
            <w:r>
              <w:rPr>
                <w:rFonts w:ascii="仿宋_GB2312" w:eastAsia="仿宋_GB2312" w:hAnsi="Calibri" w:cs="宋体" w:hint="eastAsia"/>
                <w:color w:val="000000"/>
                <w:sz w:val="24"/>
                <w:szCs w:val="24"/>
              </w:rPr>
              <w:t>销售代码：2301248960/2501250637</w:t>
            </w:r>
            <w:r w:rsidR="00E61C1A">
              <w:rPr>
                <w:rFonts w:ascii="仿宋_GB2312" w:eastAsia="仿宋_GB2312" w:hAnsi="Calibri" w:cs="宋体"/>
                <w:color w:val="000000"/>
                <w:sz w:val="24"/>
                <w:szCs w:val="24"/>
              </w:rPr>
              <w:t>)</w:t>
            </w:r>
          </w:p>
        </w:tc>
      </w:tr>
      <w:tr w:rsidR="00E61C1A" w:rsidTr="00B00579">
        <w:tblPrEx>
          <w:tblBorders>
            <w:top w:val="none" w:sz="0"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产品登记编码</w:t>
            </w:r>
            <w:r w:rsidRPr="009106D5">
              <w:rPr>
                <w:rStyle w:val="a9"/>
                <w:rFonts w:ascii="仿宋_GB2312" w:eastAsia="仿宋_GB2312" w:hAnsiTheme="minorEastAsia"/>
                <w:kern w:val="0"/>
                <w:sz w:val="24"/>
                <w:szCs w:val="24"/>
              </w:rPr>
              <w:footnoteReference w:id="1"/>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Z7006924000977</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产品类型</w:t>
            </w:r>
          </w:p>
        </w:tc>
        <w:tc>
          <w:tcPr>
            <w:tcW w:w="4853" w:type="dxa"/>
            <w:tcMar>
              <w:top w:w="0" w:type="dxa"/>
              <w:left w:w="108" w:type="dxa"/>
              <w:bottom w:w="0" w:type="dxa"/>
              <w:right w:w="108" w:type="dxa"/>
            </w:tcMar>
            <w:vAlign w:val="center"/>
          </w:tcPr>
          <w:p w:rsidR="00E61C1A" w:rsidRDefault="00B129BB"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固定收益类</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产品成立日</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2024-09-25</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报告期末产品份额总额</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83,988,808.30</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报告期末产品杠杆水平</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100.03%</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业绩比较基准</w:t>
            </w:r>
            <w:r w:rsidR="00F63FAF">
              <w:rPr>
                <w:rStyle w:val="a9"/>
                <w:rFonts w:ascii="仿宋_GB2312" w:eastAsia="仿宋_GB2312" w:hAnsiTheme="minorEastAsia"/>
                <w:kern w:val="0"/>
                <w:sz w:val="24"/>
                <w:szCs w:val="24"/>
              </w:rPr>
              <w:footnoteReference w:id="2"/>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Theme="minorEastAsia" w:cs="宋体" w:hint="eastAsia"/>
                <w:color w:val="000000"/>
                <w:sz w:val="24"/>
                <w:szCs w:val="24"/>
              </w:rPr>
              <w:t>2301248960:1.65%</w:t>
              <w:br w:type="textWrapping"/>
              <w:t>2501250637:1.67%</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风险等级</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中低风险</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产品管理人</w:t>
            </w:r>
          </w:p>
        </w:tc>
        <w:tc>
          <w:tcPr>
            <w:tcW w:w="4853" w:type="dxa"/>
            <w:tcMar>
              <w:top w:w="0" w:type="dxa"/>
              <w:left w:w="108" w:type="dxa"/>
              <w:bottom w:w="0" w:type="dxa"/>
              <w:right w:w="108" w:type="dxa"/>
            </w:tcMar>
            <w:vAlign w:val="center"/>
          </w:tcPr>
          <w:p w:rsidR="00E61C1A" w:rsidRDefault="00870520" w:rsidP="00870520">
            <w:pPr>
              <w:adjustRightInd w:val="0"/>
              <w:snapToGrid w:val="0"/>
              <w:spacing w:line="360" w:lineRule="auto"/>
              <w:ind w:firstLineChars="100" w:firstLine="240"/>
              <w:jc w:val="center"/>
              <w:rPr>
                <w:rFonts w:ascii="仿宋_GB2312" w:eastAsia="仿宋_GB2312" w:hAnsiTheme="minorEastAsia" w:cs="宋体"/>
                <w:color w:val="000000"/>
                <w:sz w:val="24"/>
                <w:szCs w:val="24"/>
              </w:rPr>
            </w:pPr>
            <w:r w:rsidRPr="00870520">
              <w:rPr>
                <w:rFonts w:ascii="仿宋_GB2312" w:eastAsia="仿宋_GB2312" w:hAnsiTheme="minorEastAsia" w:cs="宋体" w:hint="eastAsia"/>
                <w:color w:val="000000"/>
                <w:sz w:val="24"/>
                <w:szCs w:val="24"/>
              </w:rPr>
              <w:t>浦银理财有限责任公司</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产品托管人</w:t>
            </w:r>
          </w:p>
        </w:tc>
        <w:tc>
          <w:tcPr>
            <w:tcW w:w="4853" w:type="dxa"/>
            <w:tcMar>
              <w:top w:w="0" w:type="dxa"/>
              <w:left w:w="108" w:type="dxa"/>
              <w:bottom w:w="0" w:type="dxa"/>
              <w:right w:w="108" w:type="dxa"/>
            </w:tcMar>
            <w:vAlign w:val="center"/>
          </w:tcPr>
          <w:p w:rsidR="00E61C1A" w:rsidRDefault="0002213E" w:rsidP="00E164A4">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kern w:val="0"/>
                <w:sz w:val="24"/>
                <w:szCs w:val="24"/>
              </w:rPr>
              <w:t>上海浦东发展银行股份有限公司</w:t>
            </w:r>
          </w:p>
        </w:tc>
      </w:tr>
    </w:tbl>
    <w:p w:rsidR="00E61C1A" w:rsidRDefault="00E61C1A" w:rsidP="00E61C1A">
      <w:pPr>
        <w:rPr>
          <w:rFonts w:ascii="仿宋_GB2312" w:eastAsia="仿宋_GB2312" w:hAnsi="Calibri"/>
          <w:sz w:val="24"/>
          <w:szCs w:val="24"/>
        </w:rPr>
      </w:pPr>
    </w:p>
    <w:p w:rsidR="004E272F" w:rsidRPr="00673698" w:rsidRDefault="004E272F" w:rsidP="004E272F">
      <w:pPr>
        <w:snapToGrid w:val="0"/>
        <w:spacing w:line="360" w:lineRule="auto"/>
        <w:rPr>
          <w:rFonts w:ascii="仿宋_GB2312" w:eastAsia="仿宋_GB2312"/>
          <w:b/>
          <w:sz w:val="28"/>
          <w:szCs w:val="24"/>
        </w:rPr>
      </w:pPr>
      <w:r w:rsidRPr="00673698">
        <w:rPr>
          <w:rFonts w:ascii="仿宋_GB2312" w:eastAsia="仿宋_GB2312" w:hint="eastAsia"/>
          <w:b/>
          <w:sz w:val="28"/>
          <w:szCs w:val="24"/>
        </w:rPr>
        <w:t>3</w:t>
      </w:r>
      <w:r w:rsidRPr="00673698">
        <w:rPr>
          <w:rFonts w:ascii="仿宋_GB2312" w:eastAsia="仿宋_GB2312"/>
          <w:b/>
          <w:sz w:val="28"/>
          <w:szCs w:val="24"/>
        </w:rPr>
        <w:t>.</w:t>
      </w:r>
      <w:r w:rsidRPr="00673698">
        <w:rPr>
          <w:rFonts w:ascii="仿宋_GB2312" w:eastAsia="仿宋_GB2312" w:hint="eastAsia"/>
          <w:b/>
          <w:sz w:val="28"/>
          <w:szCs w:val="24"/>
        </w:rPr>
        <w:t>产品净值表现</w:t>
      </w:r>
    </w:p>
    <w:p w:rsidR="004E272F" w:rsidRPr="00673698" w:rsidRDefault="004E272F" w:rsidP="004E272F">
      <w:pPr>
        <w:snapToGrid w:val="0"/>
        <w:spacing w:line="360" w:lineRule="auto"/>
        <w:ind w:firstLine="482"/>
        <w:rPr>
          <w:rFonts w:ascii="仿宋_GB2312" w:eastAsia="仿宋_GB2312"/>
          <w:b/>
          <w:bCs/>
          <w:sz w:val="28"/>
          <w:szCs w:val="24"/>
        </w:rPr>
      </w:pPr>
      <w:r w:rsidRPr="00673698">
        <w:rPr>
          <w:rFonts w:ascii="仿宋_GB2312" w:eastAsia="仿宋_GB2312" w:hint="eastAsia"/>
          <w:b/>
          <w:bCs/>
          <w:sz w:val="28"/>
          <w:szCs w:val="24"/>
        </w:rPr>
        <w:t>3.1 净值表现</w:t>
      </w:r>
    </w:p>
    <w:p w:rsidR="004E272F" w:rsidRPr="00B9403A" w:rsidRDefault="004E272F" w:rsidP="004E272F">
      <w:pPr>
        <w:snapToGrid w:val="0"/>
        <w:spacing w:line="360" w:lineRule="auto"/>
        <w:ind w:left="5143" w:hanging="5143"/>
        <w:rPr>
          <w:rFonts w:ascii="仿宋_GB2312" w:eastAsia="仿宋_GB2312"/>
          <w:sz w:val="24"/>
          <w:szCs w:val="24"/>
        </w:rPr>
      </w:pPr>
      <w:r>
        <w:rPr>
          <w:sz w:val="24"/>
          <w:szCs w:val="24"/>
        </w:rPr>
        <w:lastRenderedPageBreak/>
        <w:t xml:space="preserve">                                                                               </w:t>
      </w:r>
      <w:r>
        <w:rPr>
          <w:sz w:val="24"/>
          <w:szCs w:val="24"/>
        </w:rPr>
        <w:t>单位：人民币</w:t>
      </w:r>
      <w:r>
        <w:rPr>
          <w:sz w:val="24"/>
          <w:szCs w:val="24"/>
        </w:rPr>
        <w:t>(CNY)</w:t>
      </w:r>
    </w:p>
    <w:tbl>
      <w:tblPr>
        <w:tblStyle w:val="ab"/>
        <w:tblW w:w="9072" w:type="dxa"/>
        <w:tblLayout w:type="fixed"/>
        <w:tblLook w:val="04A0" w:firstRow="1" w:lastRow="0" w:firstColumn="1" w:lastColumn="0" w:noHBand="0" w:noVBand="1"/>
      </w:tblPr>
      <w:tblGrid>
        <w:gridCol w:w="4361"/>
        <w:gridCol w:w="4711"/>
      </w:tblGrid>
      <w:tr w:rsidR="004E272F" w:rsidTr="00B00579">
        <w:tc>
          <w:tcPr>
            <w:tcW w:w="4361" w:type="dxa"/>
          </w:tcPr>
          <w:p w:rsidR="004E272F" w:rsidRDefault="004E272F" w:rsidP="004E272F">
            <w:pPr>
              <w:pStyle w:val="aa"/>
              <w:snapToGrid w:val="0"/>
              <w:spacing w:before="0" w:beforeAutospacing="0" w:after="0" w:afterAutospacing="0" w:line="360" w:lineRule="auto"/>
              <w:ind w:firstLineChars="200" w:firstLine="480"/>
              <w:jc w:val="center"/>
              <w:rPr>
                <w:rFonts w:ascii="仿宋_GB2312" w:eastAsia="仿宋_GB2312"/>
                <w:kern w:val="2"/>
              </w:rPr>
            </w:pPr>
            <w:r>
              <w:rPr>
                <w:rFonts w:ascii="仿宋_GB2312" w:eastAsia="仿宋_GB2312" w:hint="eastAsia"/>
                <w:kern w:val="2"/>
              </w:rPr>
              <w:t>产品净值表现</w:t>
            </w:r>
          </w:p>
        </w:tc>
        <w:tc>
          <w:tcPr>
            <w:tcW w:w="4711" w:type="dxa"/>
          </w:tcPr>
          <w:p w:rsidR="004E272F" w:rsidRDefault="004E272F" w:rsidP="00607986">
            <w:pPr>
              <w:snapToGrid w:val="0"/>
              <w:spacing w:line="360" w:lineRule="auto"/>
              <w:ind w:firstLineChars="200" w:firstLine="480"/>
              <w:jc w:val="center"/>
              <w:rPr>
                <w:rFonts w:ascii="仿宋_GB2312" w:eastAsia="仿宋_GB2312" w:hAnsi="Calibri" w:cs="宋体"/>
                <w:color w:val="000000"/>
                <w:sz w:val="24"/>
                <w:szCs w:val="24"/>
              </w:rPr>
            </w:pPr>
            <w:r>
              <w:rPr>
                <w:rFonts w:ascii="仿宋_GB2312" w:eastAsia="仿宋_GB2312" w:hint="eastAsia"/>
                <w:color w:val="000000"/>
                <w:sz w:val="24"/>
                <w:szCs w:val="24"/>
              </w:rPr>
              <w:t>报告期（</w:t>
            </w:r>
            <w:r w:rsidR="00607986">
              <w:rPr>
                <w:rFonts w:ascii="仿宋_GB2312" w:eastAsia="仿宋_GB2312"/>
                <w:color w:val="000000"/>
                <w:sz w:val="24"/>
                <w:szCs w:val="24"/>
              </w:rPr>
              <w:t>2026-01-01</w:t>
            </w:r>
            <w:r>
              <w:rPr>
                <w:rFonts w:ascii="仿宋_GB2312" w:eastAsia="仿宋_GB2312" w:hint="eastAsia"/>
                <w:color w:val="000000"/>
                <w:sz w:val="24"/>
                <w:szCs w:val="24"/>
              </w:rPr>
              <w:t>至</w:t>
            </w:r>
            <w:r w:rsidR="00607986">
              <w:rPr>
                <w:rFonts w:ascii="仿宋_GB2312" w:eastAsia="仿宋_GB2312"/>
                <w:color w:val="000000"/>
                <w:sz w:val="24"/>
                <w:szCs w:val="24"/>
              </w:rPr>
              <w:t>2026-03-31</w:t>
            </w:r>
            <w:r>
              <w:rPr>
                <w:rFonts w:ascii="仿宋_GB2312" w:eastAsia="仿宋_GB2312" w:hint="eastAsia"/>
                <w:color w:val="000000"/>
                <w:sz w:val="24"/>
                <w:szCs w:val="24"/>
              </w:rPr>
              <w:t>）</w:t>
            </w:r>
          </w:p>
        </w:tc>
      </w:tr>
      <w:tr w:rsidR="004E272F" w:rsidTr="00B00579">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1.期末产品资产净值</w:t>
            </w:r>
          </w:p>
        </w:tc>
        <w:tc>
          <w:tcPr>
            <w:tcW w:w="4711" w:type="dxa"/>
          </w:tcPr>
          <w:p w:rsidR="004E272F" w:rsidRDefault="0002213E" w:rsidP="006C006D">
            <w:pPr>
              <w:snapToGrid w:val="0"/>
              <w:spacing w:line="360" w:lineRule="auto"/>
              <w:jc w:val="left"/>
              <w:rPr>
                <w:rFonts w:ascii="仿宋_GB2312" w:eastAsia="仿宋_GB2312" w:hAnsi="Calibri" w:cs="宋体"/>
                <w:color w:val="000000"/>
                <w:sz w:val="24"/>
                <w:szCs w:val="24"/>
              </w:rPr>
            </w:pPr>
            <w:r>
              <w:rPr>
                <w:rFonts w:ascii="仿宋_GB2312" w:eastAsia="仿宋_GB2312" w:hAnsi="Calibri" w:cs="宋体"/>
                <w:color w:val="000000"/>
                <w:kern w:val="2"/>
                <w:sz w:val="24"/>
                <w:szCs w:val="24"/>
              </w:rPr>
              <w:t>2301241672</w:t>
            </w:r>
            <w:r w:rsidR="00367DBF">
              <w:rPr>
                <w:rFonts w:ascii="仿宋_GB2312" w:eastAsia="仿宋_GB2312" w:hAnsi="Calibri" w:cs="宋体"/>
                <w:color w:val="000000"/>
                <w:sz w:val="24"/>
                <w:szCs w:val="24"/>
              </w:rPr>
              <w:t xml:space="preserve"> : </w:t>
            </w:r>
            <w:r>
              <w:rPr>
                <w:rFonts w:ascii="仿宋_GB2312" w:eastAsia="仿宋_GB2312" w:hAnsi="Calibri" w:cs="宋体" w:hint="eastAsia"/>
                <w:color w:val="000000"/>
                <w:sz w:val="24"/>
                <w:szCs w:val="24"/>
              </w:rPr>
              <w:t>86,726,637.96</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2.期末产品份额净值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Calibri" w:cs="宋体"/>
                <w:color w:val="000000"/>
                <w:sz w:val="24"/>
                <w:szCs w:val="24"/>
              </w:rPr>
              <w:t>2301248960:1.0406</w:t>
              <w:br w:type="textWrapping"/>
              <w:t>2501250637:1.0180</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3.期末产品份额累计净值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2301248960:1.0406</w:t>
              <w:br w:type="textWrapping"/>
              <w:t>2501250637:1.0180</w:t>
            </w:r>
          </w:p>
        </w:tc>
      </w:tr>
      <w:tr w:rsidR="004E272F" w:rsidTr="00B00579">
        <w:trPr>
          <w:trHeight w:val="158"/>
        </w:trPr>
        <w:tc>
          <w:tcPr>
            <w:tcW w:w="4361" w:type="dxa"/>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4</w:t>
            </w:r>
            <w:r w:rsidRPr="00B2798E">
              <w:rPr>
                <w:rFonts w:ascii="仿宋_GB2312" w:eastAsia="仿宋_GB2312"/>
                <w:kern w:val="2"/>
              </w:rPr>
              <w:t>.</w:t>
            </w:r>
            <w:r w:rsidR="004E272F">
              <w:rPr>
                <w:rFonts w:ascii="仿宋_GB2312" w:eastAsia="仿宋_GB2312" w:hint="eastAsia"/>
                <w:kern w:val="2"/>
              </w:rPr>
              <w:t>每万份收益</w:t>
            </w:r>
          </w:p>
        </w:tc>
        <w:tc>
          <w:tcPr>
            <w:tcW w:w="4711" w:type="dxa"/>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tbl>
      <w:tblPr>
        <w:tblW w:w="9072" w:type="dxa"/>
        <w:tblBorders>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61"/>
        <w:gridCol w:w="4711"/>
      </w:tblGrid>
      <w:tr w:rsidR="004E272F" w:rsidTr="00B00579">
        <w:trPr>
          <w:trHeight w:val="158"/>
        </w:trPr>
        <w:tc>
          <w:tcPr>
            <w:tcW w:w="4361" w:type="dxa"/>
            <w:tcMar>
              <w:top w:w="0" w:type="dxa"/>
              <w:left w:w="108" w:type="dxa"/>
              <w:bottom w:w="0" w:type="dxa"/>
              <w:right w:w="108" w:type="dxa"/>
            </w:tcMar>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5</w:t>
            </w:r>
            <w:r w:rsidRPr="00B2798E">
              <w:rPr>
                <w:rFonts w:ascii="仿宋_GB2312" w:eastAsia="仿宋_GB2312"/>
                <w:kern w:val="2"/>
              </w:rPr>
              <w:t>.</w:t>
            </w:r>
            <w:r w:rsidR="004E272F">
              <w:rPr>
                <w:rFonts w:ascii="仿宋_GB2312" w:eastAsia="仿宋_GB2312" w:hint="eastAsia"/>
                <w:kern w:val="2"/>
              </w:rPr>
              <w:t>七日年化收益率</w:t>
            </w:r>
          </w:p>
        </w:tc>
        <w:tc>
          <w:tcPr>
            <w:tcW w:w="4711" w:type="dxa"/>
            <w:tcMar>
              <w:top w:w="0" w:type="dxa"/>
              <w:left w:w="108" w:type="dxa"/>
              <w:bottom w:w="0" w:type="dxa"/>
              <w:right w:w="108" w:type="dxa"/>
            </w:tcMar>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p w:rsidR="00564E1C" w:rsidRPr="00673698" w:rsidRDefault="00564E1C" w:rsidP="00564E1C">
      <w:pPr>
        <w:snapToGrid w:val="0"/>
        <w:spacing w:line="360" w:lineRule="auto"/>
        <w:rPr>
          <w:rFonts w:ascii="仿宋_GB2312" w:eastAsia="仿宋_GB2312"/>
          <w:b/>
          <w:sz w:val="28"/>
          <w:szCs w:val="24"/>
        </w:rPr>
      </w:pPr>
      <w:r w:rsidRPr="00673698">
        <w:rPr>
          <w:rFonts w:ascii="仿宋_GB2312" w:eastAsia="仿宋_GB2312" w:hint="eastAsia"/>
          <w:b/>
          <w:sz w:val="28"/>
          <w:szCs w:val="24"/>
        </w:rPr>
        <w:t>4.投资组合报告</w:t>
      </w:r>
    </w:p>
    <w:p w:rsidR="00564E1C" w:rsidRPr="00673698" w:rsidRDefault="00564E1C" w:rsidP="00564E1C">
      <w:pPr>
        <w:spacing w:line="360" w:lineRule="auto"/>
        <w:ind w:firstLine="482"/>
        <w:rPr>
          <w:rFonts w:ascii="仿宋_GB2312" w:eastAsia="仿宋_GB2312"/>
          <w:b/>
          <w:bCs/>
          <w:sz w:val="28"/>
          <w:szCs w:val="24"/>
        </w:rPr>
      </w:pPr>
      <w:r w:rsidRPr="00673698">
        <w:rPr>
          <w:rFonts w:ascii="仿宋_GB2312" w:eastAsia="仿宋_GB2312" w:hint="eastAsia"/>
          <w:b/>
          <w:bCs/>
          <w:sz w:val="28"/>
          <w:szCs w:val="24"/>
        </w:rPr>
        <w:t>4.1 报告期末产品资产组合情况</w:t>
      </w:r>
    </w:p>
    <w:tbl>
      <w:tblPr>
        <w:tblW w:w="5303" w:type="pct"/>
        <w:tblLayout w:type="fixed"/>
        <w:tblLook w:val="04A0" w:firstRow="1" w:lastRow="0" w:firstColumn="1" w:lastColumn="0" w:noHBand="0" w:noVBand="1"/>
      </w:tblPr>
      <w:tblGrid>
        <w:gridCol w:w="656"/>
        <w:gridCol w:w="1519"/>
        <w:gridCol w:w="1517"/>
        <w:gridCol w:w="1795"/>
        <w:gridCol w:w="1517"/>
        <w:gridCol w:w="1795"/>
      </w:tblGrid>
      <w:tr w:rsidR="000E6BAE" w:rsidRPr="004567B4" w:rsidTr="006428C9">
        <w:trPr>
          <w:trHeight w:val="260"/>
        </w:trPr>
        <w:tc>
          <w:tcPr>
            <w:tcW w:w="373" w:type="pct"/>
            <w:tcBorders>
              <w:top w:val="single" w:sz="4" w:space="0" w:color="auto"/>
              <w:left w:val="single" w:sz="4" w:space="0" w:color="auto"/>
              <w:right w:val="single" w:sz="4" w:space="0" w:color="auto"/>
            </w:tcBorders>
            <w:shd w:val="clear" w:color="auto" w:fill="auto"/>
            <w:noWrap/>
            <w:vAlign w:val="center"/>
            <w:hideMark/>
          </w:tcPr>
          <w:p w:rsidR="000E6BAE" w:rsidRPr="00E706B1" w:rsidRDefault="006428C9" w:rsidP="006428C9">
            <w:pPr>
              <w:widowControl/>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序</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项目</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穿透前</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穿透后</w:t>
            </w:r>
          </w:p>
        </w:tc>
      </w:tr>
      <w:tr w:rsidR="000E6BAE" w:rsidRPr="004567B4" w:rsidTr="006428C9">
        <w:trPr>
          <w:trHeight w:val="520"/>
        </w:trPr>
        <w:tc>
          <w:tcPr>
            <w:tcW w:w="373" w:type="pct"/>
            <w:tcBorders>
              <w:left w:val="single" w:sz="4" w:space="0" w:color="auto"/>
              <w:bottom w:val="single" w:sz="4" w:space="0" w:color="auto"/>
              <w:right w:val="single" w:sz="4" w:space="0" w:color="auto"/>
            </w:tcBorders>
            <w:shd w:val="clear" w:color="auto" w:fill="auto"/>
            <w:vAlign w:val="center"/>
            <w:hideMark/>
          </w:tcPr>
          <w:p w:rsidR="000E6BAE" w:rsidRPr="00E706B1" w:rsidRDefault="006428C9" w:rsidP="00E35E11">
            <w:pPr>
              <w:widowControl/>
              <w:jc w:val="left"/>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号</w:t>
            </w:r>
            <w:r>
              <w:rPr>
                <w:rFonts w:ascii="仿宋_GB2312" w:eastAsia="仿宋_GB2312" w:hAnsi="Calibri" w:cs="宋体"/>
                <w:color w:val="000000"/>
                <w:sz w:val="24"/>
                <w:szCs w:val="24"/>
              </w:rPr>
              <w:t/>
            </w: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E6BAE" w:rsidRPr="00E706B1" w:rsidRDefault="000E6BAE" w:rsidP="00E35E11">
            <w:pPr>
              <w:widowControl/>
              <w:jc w:val="left"/>
              <w:rPr>
                <w:rFonts w:ascii="仿宋_GB2312" w:eastAsia="仿宋_GB2312" w:hAnsi="Calibri" w:cs="宋体"/>
                <w:color w:val="000000"/>
                <w:sz w:val="24"/>
                <w:szCs w:val="24"/>
              </w:rPr>
            </w:pP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bookmarkStart w:id="0" w:name="_GoBack"/>
            <w:bookmarkEnd w:id="0"/>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现金及银行存款</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9,057,938.73</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10.44%</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27,293,601.50</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31.46%</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债券类固定收益证券</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49,758,864.89</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57.36%</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同业存单</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公募基金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6,099,831.10</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7.03%</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私募基金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权益类资产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资产管理产品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77,694,910.07</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89.56%</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委外投资-协议方式</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拆放同业及买入返售</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3,600,551.31</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4.15%</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非标准化债权类资产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商品及金融衍生品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其他资产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合计</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86,752,848.80</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86,752,848.80</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注：1</w:t>
      </w:r>
      <w:r>
        <w:rPr>
          <w:rFonts w:ascii="仿宋_GB2312" w:eastAsia="仿宋_GB2312" w:hAnsiTheme="minorEastAsia"/>
          <w:bCs/>
          <w:sz w:val="24"/>
          <w:szCs w:val="24"/>
        </w:rPr>
        <w:t>.</w:t>
      </w:r>
      <w:r>
        <w:rPr>
          <w:rFonts w:ascii="仿宋_GB2312" w:eastAsia="仿宋_GB2312" w:hAnsi="Calibri" w:hint="eastAsia"/>
          <w:sz w:val="24"/>
          <w:szCs w:val="24"/>
        </w:rPr>
        <w:t>所有</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564E1C" w:rsidRPr="00F63FAF" w:rsidRDefault="00564E1C" w:rsidP="00564E1C">
      <w:pPr>
        <w:rPr>
          <w:rFonts w:ascii="仿宋_GB2312" w:eastAsia="仿宋_GB2312" w:hAnsi="Calibri"/>
          <w:sz w:val="24"/>
          <w:szCs w:val="24"/>
        </w:rPr>
      </w:pPr>
    </w:p>
    <w:p w:rsidR="00DE496A" w:rsidRPr="00673698" w:rsidRDefault="00DE496A" w:rsidP="00DE496A">
      <w:pPr>
        <w:spacing w:line="360" w:lineRule="auto"/>
        <w:ind w:firstLine="482"/>
        <w:rPr>
          <w:rFonts w:ascii="仿宋_GB2312" w:eastAsia="仿宋_GB2312" w:hAnsi="Calibri"/>
          <w:sz w:val="28"/>
          <w:szCs w:val="24"/>
        </w:rPr>
      </w:pPr>
      <w:r w:rsidRPr="00673698">
        <w:rPr>
          <w:rFonts w:ascii="仿宋_GB2312" w:eastAsia="仿宋_GB2312" w:hint="eastAsia"/>
          <w:b/>
          <w:bCs/>
          <w:sz w:val="28"/>
          <w:szCs w:val="24"/>
        </w:rPr>
        <w:t>4.2 报告期内产品投资策略和组合流动性风险分析</w:t>
      </w:r>
    </w:p>
    <w:p w:rsidR="004F4999" w:rsidRDefault="00561A35" w:rsidP="004F4999">
      <w:pPr>
        <w:snapToGrid w:val="0"/>
        <w:spacing w:line="360" w:lineRule="auto"/>
        <w:ind w:firstLine="480"/>
        <w:rPr>
          <w:rFonts w:ascii="仿宋_GB2312" w:eastAsia="仿宋_GB2312"/>
          <w:color w:val="000000"/>
          <w:sz w:val="24"/>
          <w:szCs w:val="24"/>
        </w:rPr>
      </w:pPr>
      <w:r>
        <w:rPr>
          <w:rFonts w:ascii="仿宋_GB2312" w:eastAsia="仿宋_GB2312" w:hint="eastAsia"/>
          <w:color w:val="000000"/>
          <w:sz w:val="24"/>
          <w:szCs w:val="24"/>
        </w:rPr>
        <w:t>投资策略以配置信用债，同时适当通过杠杆等方式增厚收益，相机通过久期调整获取超额收益。报告期内组合流动性资产比例维持在较高水准，未有流动性风险情况。</w:t>
      </w:r>
    </w:p>
    <w:p w:rsidR="007B3C42" w:rsidRPr="007B3C42" w:rsidRDefault="007B3C42" w:rsidP="007B3C42">
      <w:pPr>
        <w:snapToGrid w:val="0"/>
        <w:spacing w:line="360" w:lineRule="auto"/>
        <w:ind w:firstLine="480"/>
        <w:rPr>
          <w:rFonts w:ascii="仿宋_GB2312" w:eastAsia="仿宋_GB2312"/>
          <w:b/>
          <w:sz w:val="28"/>
          <w:szCs w:val="24"/>
        </w:rPr>
      </w:pPr>
      <w:r>
        <w:rPr>
          <w:rFonts w:ascii="仿宋_GB2312" w:eastAsia="仿宋_GB2312" w:hint="eastAsia"/>
          <w:b/>
          <w:sz w:val="28"/>
          <w:szCs w:val="24"/>
        </w:rPr>
        <w:t>附：本报告期内，本产品理财投资合作机构为“民生通惠资产管理有限公司、华润深国投信托有限公司、中国对外经济贸易信托有限公司”。</w:t>
      </w:r>
    </w:p>
    <w:p w:rsidR="00DE496A" w:rsidRPr="00673698" w:rsidRDefault="00DE496A" w:rsidP="00DE496A">
      <w:pPr>
        <w:spacing w:line="360" w:lineRule="auto"/>
        <w:ind w:firstLineChars="200" w:firstLine="562"/>
        <w:rPr>
          <w:rFonts w:ascii="仿宋_GB2312" w:eastAsia="仿宋_GB2312" w:hAnsiTheme="minorEastAsia"/>
          <w:b/>
          <w:bCs/>
          <w:sz w:val="28"/>
          <w:szCs w:val="24"/>
        </w:rPr>
      </w:pPr>
      <w:r w:rsidRPr="00673698">
        <w:rPr>
          <w:rFonts w:ascii="仿宋_GB2312" w:eastAsia="仿宋_GB2312" w:hAnsiTheme="minorEastAsia"/>
          <w:b/>
          <w:bCs/>
          <w:sz w:val="28"/>
          <w:szCs w:val="24"/>
        </w:rPr>
        <w:t>4.3报告期末占比前十项资产明细</w:t>
      </w:r>
    </w:p>
    <w:tbl>
      <w:tblPr>
        <w:tblW w:w="907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39"/>
        <w:gridCol w:w="2268"/>
        <w:gridCol w:w="2835"/>
        <w:gridCol w:w="2835"/>
      </w:tblGrid>
      <w:tr w:rsidR="00DE496A" w:rsidTr="00B00579">
        <w:trPr>
          <w:trHeight w:val="296"/>
        </w:trPr>
        <w:tc>
          <w:tcPr>
            <w:tcW w:w="1139" w:type="dxa"/>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序号</w:t>
            </w:r>
            <w:r w:rsidR="00D8270F">
              <w:rPr>
                <w:rFonts w:ascii="仿宋_GB2312" w:eastAsia="仿宋_GB2312" w:hAnsiTheme="minorEastAsia" w:hint="eastAsia"/>
                <w:color w:val="000000"/>
                <w:sz w:val="24"/>
                <w:szCs w:val="24"/>
              </w:rPr>
              <w:t/>
            </w:r>
          </w:p>
        </w:tc>
        <w:tc>
          <w:tcPr>
            <w:tcW w:w="2268" w:type="dxa"/>
            <w:tcMar>
              <w:top w:w="15" w:type="dxa"/>
              <w:left w:w="15" w:type="dxa"/>
              <w:bottom w:w="0" w:type="dxa"/>
              <w:right w:w="15" w:type="dxa"/>
            </w:tcMar>
            <w:vAlign w:val="center"/>
          </w:tcPr>
          <w:p w:rsidR="00DE496A" w:rsidRDefault="00DE496A" w:rsidP="00B0057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auto"/>
              <w:rPr>
                <w:rFonts w:ascii="仿宋_GB2312" w:eastAsia="仿宋_GB2312" w:hAnsiTheme="minorEastAsia" w:cs="Times New Roman"/>
                <w:color w:val="000000"/>
                <w:kern w:val="2"/>
              </w:rPr>
            </w:pPr>
            <w:r>
              <w:rPr>
                <w:rFonts w:ascii="仿宋_GB2312" w:eastAsia="仿宋_GB2312" w:hAnsiTheme="minorEastAsia" w:cs="Times New Roman" w:hint="eastAsia"/>
                <w:color w:val="000000"/>
                <w:kern w:val="2"/>
              </w:rPr>
              <w:t>资产名称</w:t>
            </w:r>
          </w:p>
        </w:tc>
        <w:tc>
          <w:tcPr>
            <w:tcW w:w="2835" w:type="dxa"/>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资产规模</w:t>
            </w:r>
            <w:r w:rsidR="00177133">
              <w:rPr>
                <w:rFonts w:ascii="仿宋_GB2312" w:eastAsia="仿宋_GB2312" w:hAnsiTheme="minorEastAsia" w:hint="eastAsia"/>
                <w:color w:val="000000"/>
                <w:sz w:val="24"/>
                <w:szCs w:val="24"/>
              </w:rPr>
              <w:t>（元</w:t>
            </w:r>
            <w:r w:rsidR="00177133">
              <w:rPr>
                <w:rFonts w:ascii="仿宋_GB2312" w:eastAsia="仿宋_GB2312" w:hAnsiTheme="minorEastAsia"/>
                <w:color w:val="000000"/>
                <w:sz w:val="24"/>
                <w:szCs w:val="24"/>
              </w:rPr>
              <w:t>）</w:t>
            </w:r>
          </w:p>
        </w:tc>
        <w:tc>
          <w:tcPr>
            <w:tcW w:w="2835" w:type="dxa"/>
            <w:tcMar>
              <w:top w:w="15" w:type="dxa"/>
              <w:left w:w="15" w:type="dxa"/>
              <w:bottom w:w="0" w:type="dxa"/>
              <w:right w:w="15" w:type="dxa"/>
            </w:tcMar>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占产品资产净值比例</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华润信托盈亨8号集合资金信托计划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56,460,052.00</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65.10%</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民生通惠浦银惠享5号</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20,930,000.00</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24.13%</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银行存款</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9,057,938.73</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10.44%</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民生通惠浦银惠享3号</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304,858.07</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0.35%</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w:t>
      </w:r>
      <w:r>
        <w:rPr>
          <w:rFonts w:ascii="仿宋_GB2312" w:eastAsia="仿宋_GB2312" w:hAnsi="Calibri"/>
          <w:sz w:val="24"/>
          <w:szCs w:val="24"/>
        </w:rPr>
        <w:t>1</w:t>
      </w:r>
      <w:r>
        <w:rPr>
          <w:rFonts w:ascii="仿宋_GB2312" w:eastAsia="仿宋_GB2312" w:hAnsiTheme="minorEastAsia"/>
          <w:bCs/>
          <w:sz w:val="24"/>
          <w:szCs w:val="24"/>
        </w:rPr>
        <w:t>.</w:t>
      </w:r>
      <w:r>
        <w:rPr>
          <w:rFonts w:ascii="仿宋_GB2312" w:eastAsia="仿宋_GB2312" w:hAnsi="Calibri" w:hint="eastAsia"/>
          <w:sz w:val="24"/>
          <w:szCs w:val="24"/>
        </w:rPr>
        <w:t>所有资产</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DE496A" w:rsidRPr="00F63FAF" w:rsidRDefault="00DE496A" w:rsidP="00DE496A">
      <w:pPr>
        <w:rPr>
          <w:rFonts w:ascii="仿宋_GB2312" w:eastAsia="仿宋_GB2312" w:hAnsi="Calibri"/>
          <w:sz w:val="24"/>
          <w:szCs w:val="24"/>
        </w:rPr>
      </w:pPr>
    </w:p>
    <w:p w:rsidR="00DE496A" w:rsidRPr="00673698" w:rsidRDefault="00DE496A" w:rsidP="00DE496A">
      <w:pPr>
        <w:adjustRightInd w:val="0"/>
        <w:snapToGrid w:val="0"/>
        <w:spacing w:line="360" w:lineRule="auto"/>
        <w:ind w:firstLineChars="200" w:firstLine="562"/>
        <w:rPr>
          <w:rFonts w:ascii="仿宋_GB2312" w:eastAsia="仿宋_GB2312" w:hAnsiTheme="minorEastAsia"/>
          <w:b/>
          <w:bCs/>
          <w:sz w:val="28"/>
          <w:szCs w:val="24"/>
        </w:rPr>
      </w:pPr>
      <w:r w:rsidRPr="00673698">
        <w:rPr>
          <w:rFonts w:ascii="仿宋_GB2312" w:eastAsia="仿宋_GB2312"/>
          <w:b/>
          <w:bCs/>
          <w:sz w:val="28"/>
          <w:szCs w:val="24"/>
        </w:rPr>
        <w:t xml:space="preserve"> </w:t>
      </w:r>
      <w:r w:rsidRPr="00673698">
        <w:rPr>
          <w:rFonts w:ascii="仿宋_GB2312" w:eastAsia="仿宋_GB2312" w:hAnsiTheme="minorEastAsia"/>
          <w:b/>
          <w:bCs/>
          <w:sz w:val="28"/>
          <w:szCs w:val="24"/>
        </w:rPr>
        <w:t>4.4报告期末非标准化债权</w:t>
      </w:r>
      <w:r w:rsidRPr="00673698">
        <w:rPr>
          <w:rStyle w:val="a9"/>
          <w:rFonts w:ascii="仿宋_GB2312" w:eastAsia="仿宋_GB2312" w:hAnsiTheme="minorEastAsia"/>
          <w:b/>
          <w:bCs/>
          <w:sz w:val="28"/>
          <w:szCs w:val="24"/>
        </w:rPr>
        <w:footnoteReference w:id="3"/>
      </w:r>
      <w:r w:rsidRPr="00673698">
        <w:rPr>
          <w:rFonts w:ascii="仿宋_GB2312" w:eastAsia="仿宋_GB2312" w:hAnsiTheme="minorEastAsia" w:hint="eastAsia"/>
          <w:b/>
          <w:bCs/>
          <w:sz w:val="28"/>
          <w:szCs w:val="24"/>
        </w:rPr>
        <w:t>投资明细（选填）</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1658"/>
        <w:gridCol w:w="1658"/>
        <w:gridCol w:w="1335"/>
        <w:gridCol w:w="1335"/>
        <w:gridCol w:w="2349"/>
      </w:tblGrid>
      <w:tr w:rsidR="00DE496A" w:rsidTr="00177133">
        <w:tc>
          <w:tcPr>
            <w:tcW w:w="852"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hint="eastAsia"/>
                <w:bCs/>
                <w:sz w:val="24"/>
                <w:szCs w:val="24"/>
              </w:rPr>
              <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融资客户</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资产名称</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剩余融资期限</w:t>
            </w:r>
            <w:r w:rsidR="00177133">
              <w:rPr>
                <w:rFonts w:ascii="仿宋_GB2312" w:eastAsia="仿宋_GB2312" w:hAnsiTheme="minorEastAsia" w:hint="eastAsia"/>
                <w:bCs/>
                <w:sz w:val="24"/>
                <w:szCs w:val="24"/>
              </w:rPr>
              <w:t>（天</w:t>
            </w:r>
            <w:r w:rsidR="00177133">
              <w:rPr>
                <w:rFonts w:ascii="仿宋_GB2312" w:eastAsia="仿宋_GB2312" w:hAnsiTheme="minorEastAsia"/>
                <w:bCs/>
                <w:sz w:val="24"/>
                <w:szCs w:val="24"/>
              </w:rPr>
              <w:t>）</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交易结构</w:t>
            </w:r>
          </w:p>
        </w:tc>
        <w:tc>
          <w:tcPr>
            <w:tcW w:w="2835"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占产品资产净值比例</w:t>
            </w:r>
          </w:p>
        </w:tc>
      </w:tr>
      <w:tr w:rsidR="00D601E1" w:rsidTr="00177133">
        <w:tc>
          <w:tcPr>
            <w:tcW w:w="852" w:type="dxa"/>
            <w:vAlign w:val="center"/>
          </w:tcPr>
          <w:p w:rsidR="00D601E1" w:rsidRDefault="00BE4FE3" w:rsidP="00023644">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1588" w:type="dxa"/>
            <w:vAlign w:val="center"/>
          </w:tcPr>
          <w:p w:rsidR="00D601E1" w:rsidRPr="00E1579D"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588"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283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r>
    </w:tbl>
    <w:p w:rsidR="00DE496A" w:rsidRDefault="00DE496A" w:rsidP="00DE496A">
      <w:pPr>
        <w:adjustRightInd w:val="0"/>
        <w:snapToGrid w:val="0"/>
        <w:spacing w:line="360" w:lineRule="auto"/>
        <w:rPr>
          <w:rFonts w:ascii="仿宋_GB2312" w:eastAsia="仿宋_GB2312" w:hAnsiTheme="minorEastAsia"/>
          <w:bCs/>
          <w:sz w:val="24"/>
          <w:szCs w:val="24"/>
        </w:rPr>
      </w:pPr>
      <w:r>
        <w:rPr>
          <w:rFonts w:ascii="仿宋_GB2312" w:eastAsia="仿宋_GB2312" w:hAnsiTheme="minorEastAsia" w:hint="eastAsia"/>
          <w:bCs/>
          <w:sz w:val="24"/>
          <w:szCs w:val="24"/>
        </w:rPr>
        <w:t>注：</w:t>
      </w:r>
      <w:r>
        <w:rPr>
          <w:rFonts w:ascii="仿宋_GB2312" w:eastAsia="仿宋_GB2312" w:hAnsiTheme="minorEastAsia"/>
          <w:bCs/>
          <w:sz w:val="24"/>
          <w:szCs w:val="24"/>
        </w:rPr>
        <w:t>1.截至期末，上述非标准化债权均按照合同约定按时分配收益</w:t>
      </w:r>
      <w:r w:rsidR="008D2272">
        <w:rPr>
          <w:rFonts w:ascii="仿宋_GB2312" w:eastAsia="仿宋_GB2312" w:hAnsiTheme="minorEastAsia" w:hint="eastAsia"/>
          <w:bCs/>
          <w:sz w:val="24"/>
          <w:szCs w:val="24"/>
        </w:rPr>
        <w:t>。</w:t>
      </w:r>
    </w:p>
    <w:p w:rsidR="009F0B98" w:rsidRDefault="00DE496A" w:rsidP="006508A1">
      <w:pPr>
        <w:snapToGrid w:val="0"/>
        <w:spacing w:line="360" w:lineRule="auto"/>
        <w:ind w:firstLine="480"/>
        <w:rPr>
          <w:rFonts w:ascii="仿宋_GB2312" w:eastAsia="仿宋_GB2312"/>
          <w:b/>
          <w:sz w:val="24"/>
          <w:szCs w:val="24"/>
        </w:rPr>
      </w:pPr>
      <w:r>
        <w:rPr>
          <w:rFonts w:ascii="仿宋_GB2312" w:eastAsia="仿宋_GB2312" w:hAnsiTheme="minorEastAsia"/>
          <w:bCs/>
          <w:sz w:val="24"/>
          <w:szCs w:val="24"/>
        </w:rPr>
        <w:t>2.截至期末，上述非标准化债权未出现无法履行本金及收益兑付的实际情况。</w:t>
      </w:r>
      <w:r w:rsidR="006508A1">
        <w:rPr>
          <w:rFonts w:ascii="仿宋_GB2312" w:eastAsia="仿宋_GB2312"/>
          <w:b/>
          <w:sz w:val="24"/>
          <w:szCs w:val="24"/>
          <w:highlight w:val="yellow"/>
        </w:rPr>
        <w:t xml:space="preserve"> </w:t>
      </w:r>
    </w:p>
    <w:p w:rsidR="00F63FAF" w:rsidRPr="00792F91" w:rsidRDefault="00F63FAF" w:rsidP="00F63FA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hint="eastAsia"/>
          <w:bCs/>
          <w:sz w:val="24"/>
          <w:szCs w:val="24"/>
        </w:rPr>
        <w:t>3</w:t>
      </w:r>
      <w:r>
        <w:rPr>
          <w:rFonts w:ascii="仿宋_GB2312" w:eastAsia="仿宋_GB2312" w:hAnsiTheme="minorEastAsia"/>
          <w:bCs/>
          <w:sz w:val="24"/>
          <w:szCs w:val="24"/>
        </w:rPr>
        <w:t>.</w:t>
      </w:r>
      <w:r w:rsidRPr="00792F91">
        <w:rPr>
          <w:rFonts w:ascii="仿宋_GB2312" w:eastAsia="仿宋_GB2312" w:hAnsiTheme="minorEastAsia" w:hint="eastAsia"/>
          <w:bCs/>
          <w:sz w:val="24"/>
          <w:szCs w:val="24"/>
        </w:rPr>
        <w:t>剩余融资期限指</w:t>
      </w:r>
      <w:r>
        <w:rPr>
          <w:rFonts w:ascii="仿宋_GB2312" w:eastAsia="仿宋_GB2312" w:hAnsiTheme="minorEastAsia" w:hint="eastAsia"/>
          <w:bCs/>
          <w:sz w:val="24"/>
          <w:szCs w:val="24"/>
        </w:rPr>
        <w:t>本</w:t>
      </w:r>
      <w:r w:rsidRPr="00792F91">
        <w:rPr>
          <w:rFonts w:ascii="仿宋_GB2312" w:eastAsia="仿宋_GB2312" w:hAnsiTheme="minorEastAsia" w:hint="eastAsia"/>
          <w:bCs/>
          <w:sz w:val="24"/>
          <w:szCs w:val="24"/>
        </w:rPr>
        <w:t>报告期末（含）至项目到期日（不含）的天数。</w:t>
      </w:r>
    </w:p>
    <w:p w:rsidR="00310434" w:rsidRDefault="00F63FAF" w:rsidP="0011739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bCs/>
          <w:sz w:val="24"/>
          <w:szCs w:val="24"/>
        </w:rPr>
        <w:t>4.</w:t>
      </w:r>
      <w:r w:rsidRPr="00792F91">
        <w:rPr>
          <w:rFonts w:ascii="仿宋_GB2312" w:eastAsia="仿宋_GB2312" w:hAnsiTheme="minorEastAsia" w:hint="eastAsia"/>
          <w:bCs/>
          <w:sz w:val="24"/>
          <w:szCs w:val="24"/>
        </w:rPr>
        <w:t>以上为</w:t>
      </w:r>
      <w:r>
        <w:rPr>
          <w:rFonts w:ascii="仿宋_GB2312" w:eastAsia="仿宋_GB2312" w:hAnsiTheme="minorEastAsia" w:hint="eastAsia"/>
          <w:bCs/>
          <w:sz w:val="24"/>
          <w:szCs w:val="24"/>
        </w:rPr>
        <w:t>本报告</w:t>
      </w:r>
      <w:r w:rsidRPr="00792F91">
        <w:rPr>
          <w:rFonts w:ascii="仿宋_GB2312" w:eastAsia="仿宋_GB2312" w:hAnsiTheme="minorEastAsia" w:hint="eastAsia"/>
          <w:bCs/>
          <w:sz w:val="24"/>
          <w:szCs w:val="24"/>
        </w:rPr>
        <w:t>期末理财产品持有的非标准化债权资产，</w:t>
      </w:r>
      <w:r>
        <w:rPr>
          <w:rFonts w:ascii="仿宋_GB2312" w:eastAsia="仿宋_GB2312" w:hAnsiTheme="minorEastAsia" w:hint="eastAsia"/>
          <w:bCs/>
          <w:sz w:val="24"/>
          <w:szCs w:val="24"/>
        </w:rPr>
        <w:t>投资者</w:t>
      </w:r>
      <w:r w:rsidRPr="00792F91">
        <w:rPr>
          <w:rFonts w:ascii="仿宋_GB2312" w:eastAsia="仿宋_GB2312" w:hAnsiTheme="minorEastAsia" w:hint="eastAsia"/>
          <w:bCs/>
          <w:sz w:val="24"/>
          <w:szCs w:val="24"/>
        </w:rPr>
        <w:t>可至</w:t>
      </w:r>
      <w:r>
        <w:rPr>
          <w:rFonts w:ascii="仿宋_GB2312" w:eastAsia="仿宋_GB2312" w:hAnsiTheme="minorEastAsia" w:hint="eastAsia"/>
          <w:bCs/>
          <w:sz w:val="24"/>
          <w:szCs w:val="24"/>
        </w:rPr>
        <w:t>销售机构</w:t>
      </w:r>
      <w:r w:rsidRPr="000025EC">
        <w:rPr>
          <w:rFonts w:ascii="仿宋_GB2312" w:eastAsia="仿宋_GB2312" w:hAnsiTheme="minorEastAsia" w:hint="eastAsia"/>
          <w:bCs/>
          <w:sz w:val="24"/>
          <w:szCs w:val="24"/>
        </w:rPr>
        <w:t>的信息披露渠道</w:t>
      </w:r>
      <w:r w:rsidRPr="00792F91">
        <w:rPr>
          <w:rFonts w:ascii="仿宋_GB2312" w:eastAsia="仿宋_GB2312" w:hAnsiTheme="minorEastAsia" w:hint="eastAsia"/>
          <w:bCs/>
          <w:sz w:val="24"/>
          <w:szCs w:val="24"/>
        </w:rPr>
        <w:t>查询产品报告期间持有的每笔非标准化债权类资产信息。</w:t>
      </w:r>
    </w:p>
    <w:p w:rsidR="00641A8E" w:rsidRPr="0011739F" w:rsidRDefault="00641A8E" w:rsidP="0011739F">
      <w:pPr>
        <w:snapToGrid w:val="0"/>
        <w:spacing w:line="360" w:lineRule="auto"/>
        <w:ind w:firstLine="480"/>
        <w:rPr>
          <w:rFonts w:ascii="仿宋_GB2312" w:eastAsia="仿宋_GB2312" w:hAnsiTheme="minorEastAsia"/>
          <w:bCs/>
          <w:sz w:val="24"/>
          <w:szCs w:val="24"/>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5</w:t>
      </w:r>
      <w:r w:rsidR="00A71EBD" w:rsidRPr="00673698">
        <w:rPr>
          <w:rFonts w:ascii="仿宋_GB2312" w:eastAsia="仿宋_GB2312" w:hint="eastAsia"/>
          <w:b/>
          <w:sz w:val="28"/>
          <w:szCs w:val="24"/>
        </w:rPr>
        <w:t>.</w:t>
      </w:r>
      <w:r w:rsidR="009D54D8" w:rsidRPr="00673698">
        <w:rPr>
          <w:rFonts w:ascii="仿宋_GB2312" w:eastAsia="仿宋_GB2312" w:hint="eastAsia"/>
          <w:b/>
          <w:sz w:val="28"/>
          <w:szCs w:val="24"/>
        </w:rPr>
        <w:t>关联交易</w:t>
      </w:r>
    </w:p>
    <w:p w:rsidR="00F63FAF" w:rsidRPr="00C53238" w:rsidRDefault="0011739F" w:rsidP="00F63FAF">
      <w:pPr>
        <w:rPr>
          <w:rFonts w:ascii="仿宋_GB2312" w:eastAsia="仿宋_GB2312" w:hAnsi="仿宋_GB2312" w:cs="仿宋_GB2312"/>
          <w:b/>
          <w:sz w:val="28"/>
        </w:rPr>
      </w:pPr>
      <w:r>
        <w:rPr>
          <w:rFonts w:ascii="仿宋_GB2312" w:eastAsia="仿宋_GB2312" w:hAnsi="仿宋_GB2312" w:cs="仿宋_GB2312"/>
          <w:b/>
          <w:sz w:val="28"/>
        </w:rPr>
        <w:t>5</w:t>
      </w:r>
      <w:r w:rsidR="00F63FAF">
        <w:rPr>
          <w:rFonts w:ascii="仿宋_GB2312" w:eastAsia="仿宋_GB2312" w:hAnsi="仿宋_GB2312" w:cs="仿宋_GB2312"/>
          <w:b/>
          <w:sz w:val="28"/>
        </w:rPr>
        <w:t>.1 理财产品在报告期内投资关联方发行或承销的证券的情况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F621F3" w:rsidTr="000F0E27">
        <w:tc>
          <w:tcPr>
            <w:tcW w:w="1683" w:type="dxa"/>
            <w:vAlign w:val="center"/>
          </w:tcPr>
          <w:p w:rsidR="00357E79" w:rsidRDefault="006E6E1D">
            <w:pPr>
              <w:jc w:val="center"/>
            </w:pPr>
            <w:r>
              <w:rPr>
                <w:rFonts w:ascii="仿宋_GB2312" w:eastAsia="仿宋_GB2312" w:hAnsi="仿宋_GB2312" w:cs="仿宋_GB2312"/>
                <w:sz w:val="24"/>
              </w:rPr>
              <w:t>序号</w:t>
            </w:r>
            <w:r w:rsidR="006D52E9">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26兴化国投CP002</w:t>
            </w:r>
          </w:p>
        </w:tc>
        <w:tc>
          <w:tcPr>
            <w:tcW w:w="1571" w:type="dxa"/>
            <w:vAlign w:val="center"/>
          </w:tcPr>
          <w:p w:rsidR="00357E79" w:rsidRDefault="00F621F3">
            <w:pPr>
              <w:jc w:val="center"/>
            </w:pPr>
            <w:r>
              <w:rPr>
                <w:rFonts w:ascii="仿宋_GB2312" w:eastAsia="仿宋_GB2312" w:hAnsi="仿宋_GB2312" w:cs="仿宋_GB2312"/>
                <w:sz w:val="24"/>
              </w:rPr>
              <w:t>24253.59</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w:t>
            </w:r>
          </w:p>
        </w:tc>
        <w:tc>
          <w:tcPr>
            <w:tcW w:w="1458" w:type="dxa"/>
            <w:vAlign w:val="center"/>
          </w:tcPr>
          <w:p w:rsidR="00357E79" w:rsidRDefault="00F621F3" w:rsidP="00F621F3">
            <w:pPr>
              <w:jc w:val="center"/>
            </w:pPr>
            <w:r>
              <w:rPr>
                <w:rFonts w:ascii="仿宋_GB2312" w:eastAsia="仿宋_GB2312" w:hAnsi="仿宋_GB2312" w:cs="仿宋_GB2312"/>
                <w:sz w:val="24"/>
              </w:rPr>
              <w:t>2026-01-08</w:t>
            </w:r>
          </w:p>
        </w:tc>
        <w:tc>
          <w:tcPr>
            <w:tcW w:w="1684" w:type="dxa"/>
            <w:vAlign w:val="center"/>
          </w:tcPr>
          <w:p w:rsidR="00357E79" w:rsidRDefault="00F621F3">
            <w:pPr>
              <w:jc w:val="center"/>
            </w:pPr>
            <w:r>
              <w:rPr>
                <w:rFonts w:ascii="仿宋_GB2312" w:eastAsia="仿宋_GB2312" w:hAnsi="仿宋_GB2312" w:cs="仿宋_GB2312"/>
                <w:sz w:val="24"/>
              </w:rPr>
              <w:t>26海安经开SCP001</w:t>
            </w:r>
          </w:p>
        </w:tc>
        <w:tc>
          <w:tcPr>
            <w:tcW w:w="1571" w:type="dxa"/>
            <w:vAlign w:val="center"/>
          </w:tcPr>
          <w:p w:rsidR="00357E79" w:rsidRDefault="00F621F3">
            <w:pPr>
              <w:jc w:val="center"/>
            </w:pPr>
            <w:r>
              <w:rPr>
                <w:rFonts w:ascii="仿宋_GB2312" w:eastAsia="仿宋_GB2312" w:hAnsi="仿宋_GB2312" w:cs="仿宋_GB2312"/>
                <w:sz w:val="24"/>
              </w:rPr>
              <w:t>121464.95</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26柳钢集团SCP001(科创债)</w:t>
            </w:r>
          </w:p>
        </w:tc>
        <w:tc>
          <w:tcPr>
            <w:tcW w:w="1571" w:type="dxa"/>
            <w:vAlign w:val="center"/>
          </w:tcPr>
          <w:p w:rsidR="00357E79" w:rsidRDefault="00F621F3">
            <w:pPr>
              <w:jc w:val="center"/>
            </w:pPr>
            <w:r>
              <w:rPr>
                <w:rFonts w:ascii="仿宋_GB2312" w:eastAsia="仿宋_GB2312" w:hAnsi="仿宋_GB2312" w:cs="仿宋_GB2312"/>
                <w:sz w:val="24"/>
              </w:rPr>
              <w:t>76105.03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26新余吉泰PPN001</w:t>
            </w:r>
          </w:p>
        </w:tc>
        <w:tc>
          <w:tcPr>
            <w:tcW w:w="1571" w:type="dxa"/>
            <w:vAlign w:val="center"/>
          </w:tcPr>
          <w:p w:rsidR="00357E79" w:rsidRDefault="00F621F3">
            <w:pPr>
              <w:jc w:val="center"/>
            </w:pPr>
            <w:r>
              <w:rPr>
                <w:rFonts w:ascii="仿宋_GB2312" w:eastAsia="仿宋_GB2312" w:hAnsi="仿宋_GB2312" w:cs="仿宋_GB2312"/>
                <w:sz w:val="24"/>
              </w:rPr>
              <w:t>73472.33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26新滨江PPN001</w:t>
            </w:r>
          </w:p>
        </w:tc>
        <w:tc>
          <w:tcPr>
            <w:tcW w:w="1571" w:type="dxa"/>
            <w:vAlign w:val="center"/>
          </w:tcPr>
          <w:p w:rsidR="00357E79" w:rsidRDefault="00F621F3">
            <w:pPr>
              <w:jc w:val="center"/>
            </w:pPr>
            <w:r>
              <w:rPr>
                <w:rFonts w:ascii="仿宋_GB2312" w:eastAsia="仿宋_GB2312" w:hAnsi="仿宋_GB2312" w:cs="仿宋_GB2312"/>
                <w:sz w:val="24"/>
              </w:rPr>
              <w:t>159185.34</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.2 理财产品在报告期内投资关联方发行的资产管理产品情况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2611"/>
        <w:gridCol w:w="1389"/>
        <w:gridCol w:w="2530"/>
      </w:tblGrid>
      <w:tr w:rsidR="00357E79">
        <w:tc>
          <w:tcPr>
            <w:tcW w:w="1000" w:type="dxa"/>
            <w:vAlign w:val="center"/>
          </w:tcPr>
          <w:p w:rsidR="00357E79" w:rsidRDefault="006E6E1D">
            <w:pPr>
              <w:jc w:val="center"/>
            </w:pPr>
            <w:r>
              <w:rPr>
                <w:rFonts w:ascii="仿宋_GB2312" w:eastAsia="仿宋_GB2312" w:hAnsi="仿宋_GB2312" w:cs="仿宋_GB2312"/>
                <w:sz w:val="24"/>
              </w:rPr>
              <w:t>序号</w:t>
            </w:r>
            <w:r w:rsidR="000F0E27">
              <w:rPr>
                <w:rFonts w:ascii="仿宋_GB2312" w:eastAsia="仿宋_GB2312" w:hAnsi="仿宋_GB2312" w:cs="仿宋_GB2312" w:hint="eastAsia"/>
                <w:sz w:val="24"/>
              </w:rPr>
              <w:t/>
            </w:r>
          </w:p>
        </w:tc>
        <w:tc>
          <w:tcPr>
            <w:tcW w:w="5000" w:type="dxa"/>
            <w:vAlign w:val="center"/>
          </w:tcPr>
          <w:p w:rsidR="00357E79" w:rsidRDefault="006E6E1D">
            <w:pPr>
              <w:jc w:val="center"/>
            </w:pPr>
            <w:r>
              <w:rPr>
                <w:rFonts w:ascii="仿宋_GB2312" w:eastAsia="仿宋_GB2312" w:hAnsi="仿宋_GB2312" w:cs="仿宋_GB2312"/>
                <w:sz w:val="24"/>
              </w:rPr>
              <w:t>资产名称</w:t>
            </w:r>
          </w:p>
        </w:tc>
        <w:tc>
          <w:tcPr>
            <w:tcW w:w="2000" w:type="dxa"/>
            <w:vAlign w:val="center"/>
          </w:tcPr>
          <w:p w:rsidR="00357E79" w:rsidRDefault="006E6E1D">
            <w:pPr>
              <w:jc w:val="center"/>
            </w:pPr>
            <w:r>
              <w:rPr>
                <w:rFonts w:ascii="仿宋_GB2312" w:eastAsia="仿宋_GB2312" w:hAnsi="仿宋_GB2312" w:cs="仿宋_GB2312"/>
                <w:sz w:val="24"/>
              </w:rPr>
              <w:t>报告期内应付管理费金额</w:t>
            </w:r>
            <w:r>
              <w:rPr>
                <w:rFonts w:ascii="仿宋_GB2312" w:eastAsia="仿宋_GB2312" w:hAnsi="仿宋_GB2312" w:cs="仿宋_GB2312"/>
                <w:sz w:val="24"/>
              </w:rPr>
              <w:lastRenderedPageBreak/>
              <w:t>（元）</w:t>
            </w:r>
          </w:p>
        </w:tc>
        <w:tc>
          <w:tcPr>
            <w:tcW w:w="4000" w:type="dxa"/>
            <w:vAlign w:val="center"/>
          </w:tcPr>
          <w:p w:rsidR="00357E79" w:rsidRDefault="006E6E1D">
            <w:pPr>
              <w:jc w:val="center"/>
            </w:pPr>
            <w:r>
              <w:rPr>
                <w:rFonts w:ascii="仿宋_GB2312" w:eastAsia="仿宋_GB2312" w:hAnsi="仿宋_GB2312" w:cs="仿宋_GB2312"/>
                <w:sz w:val="24"/>
              </w:rPr>
              <w:lastRenderedPageBreak/>
              <w:t>关联方名称</w:t>
            </w:r>
          </w:p>
        </w:tc>
      </w:tr>
      <w:tr w:rsidR="00357E79">
        <w:tc>
          <w:tcPr>
            <w:tcW w:w="1000" w:type="dxa"/>
            <w:vAlign w:val="center"/>
          </w:tcPr>
          <w:p w:rsidR="00357E79" w:rsidRDefault="000F0E27">
            <w:pPr>
              <w:jc w:val="center"/>
            </w:pPr>
            <w:r>
              <w:rPr>
                <w:rFonts w:ascii="仿宋_GB2312" w:eastAsia="仿宋_GB2312" w:hAnsi="仿宋_GB2312" w:cs="仿宋_GB2312"/>
                <w:sz w:val="24"/>
              </w:rPr>
              <w:t>1</w:t>
            </w:r>
          </w:p>
        </w:tc>
        <w:tc>
          <w:tcPr>
            <w:tcW w:w="5000" w:type="dxa"/>
            <w:vAlign w:val="center"/>
          </w:tcPr>
          <w:p w:rsidR="00357E79" w:rsidRDefault="00F82AF6">
            <w:pPr>
              <w:jc w:val="center"/>
            </w:pPr>
            <w:r>
              <w:rPr>
                <w:rFonts w:ascii="仿宋_GB2312" w:eastAsia="仿宋_GB2312" w:hAnsi="仿宋_GB2312" w:cs="仿宋_GB2312"/>
                <w:sz w:val="24"/>
              </w:rPr>
              <w:t>浦银安盛双债增强债券型证券投资基金</w:t>
            </w:r>
          </w:p>
        </w:tc>
        <w:tc>
          <w:tcPr>
            <w:tcW w:w="2000" w:type="dxa"/>
            <w:vAlign w:val="center"/>
          </w:tcPr>
          <w:p w:rsidR="00357E79" w:rsidRDefault="00F82AF6">
            <w:pPr>
              <w:jc w:val="center"/>
            </w:pPr>
            <w:r>
              <w:rPr>
                <w:rFonts w:ascii="仿宋_GB2312" w:eastAsia="仿宋_GB2312" w:hAnsi="仿宋_GB2312" w:cs="仿宋_GB2312"/>
                <w:sz w:val="24"/>
              </w:rPr>
              <w:t>2.03</w:t>
            </w:r>
          </w:p>
        </w:tc>
        <w:tc>
          <w:tcPr>
            <w:tcW w:w="4000" w:type="dxa"/>
            <w:vAlign w:val="center"/>
          </w:tcPr>
          <w:p w:rsidR="00357E79" w:rsidRDefault="00F82AF6">
            <w:pPr>
              <w:jc w:val="center"/>
            </w:pPr>
            <w:r>
              <w:rPr>
                <w:rFonts w:ascii="仿宋_GB2312" w:eastAsia="仿宋_GB2312" w:hAnsi="仿宋_GB2312" w:cs="仿宋_GB2312" w:hint="eastAsia"/>
                <w:sz w:val="24"/>
              </w:rPr>
              <w:t>浦银安盛基金管理有限公司</w:t>
            </w:r>
          </w:p>
        </w:tc>
      </w:tr>
    </w:tbl>
    <w:p w:rsidR="00F63FAF" w:rsidRDefault="00F63FAF" w:rsidP="00F63FAF">
      <w:pPr>
        <w:ind w:firstLineChars="200" w:firstLine="480"/>
        <w:rPr>
          <w:rFonts w:ascii="仿宋_GB2312" w:eastAsia="仿宋_GB2312" w:hAnsi="仿宋_GB2312" w:cs="仿宋_GB2312"/>
          <w:b/>
          <w:sz w:val="28"/>
        </w:rPr>
      </w:pPr>
      <w:r>
        <w:rPr>
          <w:rFonts w:ascii="仿宋_GB2312" w:eastAsia="仿宋_GB2312" w:hAnsi="仿宋_GB2312" w:cs="仿宋_GB2312"/>
          <w:sz w:val="24"/>
        </w:rPr>
        <w:t>注：此处管理费为应付金额，根据管理人或托管人等第三方提供的管理费率按日加总计算，与实际支付金额可能存在一定误差。</w:t>
      </w:r>
    </w:p>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.3 理财产品在报告期内的其他关联交易</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357E79" w:rsidTr="00F82AF6">
        <w:tc>
          <w:tcPr>
            <w:tcW w:w="1683"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w:t>
            </w:r>
          </w:p>
        </w:tc>
        <w:tc>
          <w:tcPr>
            <w:tcW w:w="1458" w:type="dxa"/>
            <w:vAlign w:val="center"/>
          </w:tcPr>
          <w:p w:rsidR="00F82AF6" w:rsidRDefault="00F82AF6" w:rsidP="00F82AF6">
            <w:pPr>
              <w:jc w:val="center"/>
            </w:pPr>
            <w:r>
              <w:rPr>
                <w:rFonts w:ascii="仿宋_GB2312" w:eastAsia="仿宋_GB2312" w:hAnsi="仿宋_GB2312" w:cs="仿宋_GB2312"/>
                <w:sz w:val="24"/>
              </w:rPr>
              <w:t>2026-01-08</w:t>
            </w:r>
          </w:p>
        </w:tc>
        <w:tc>
          <w:tcPr>
            <w:tcW w:w="1684" w:type="dxa"/>
            <w:vAlign w:val="center"/>
          </w:tcPr>
          <w:p w:rsidR="00F82AF6" w:rsidRDefault="00F82AF6" w:rsidP="00F82AF6">
            <w:pPr>
              <w:jc w:val="center"/>
            </w:pPr>
            <w:r>
              <w:rPr>
                <w:rFonts w:ascii="仿宋_GB2312" w:eastAsia="仿宋_GB2312" w:hAnsi="仿宋_GB2312" w:cs="仿宋_GB2312"/>
                <w:sz w:val="24"/>
              </w:rPr>
              <w:t>26海安经开SCP001</w:t>
            </w:r>
          </w:p>
        </w:tc>
        <w:tc>
          <w:tcPr>
            <w:tcW w:w="1571" w:type="dxa"/>
            <w:vAlign w:val="center"/>
          </w:tcPr>
          <w:p w:rsidR="00F82AF6" w:rsidRDefault="00F82AF6" w:rsidP="00F82AF6">
            <w:pPr>
              <w:jc w:val="center"/>
            </w:pPr>
            <w:r>
              <w:rPr>
                <w:rFonts w:ascii="仿宋_GB2312" w:eastAsia="仿宋_GB2312" w:hAnsi="仿宋_GB2312" w:cs="仿宋_GB2312"/>
                <w:sz w:val="24"/>
              </w:rPr>
              <w:t>121464.95</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.4 理财产品在报告期内向关联方支付的费用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776"/>
        <w:gridCol w:w="1798"/>
        <w:gridCol w:w="2956"/>
      </w:tblGrid>
      <w:tr w:rsidR="00357E79" w:rsidTr="00F82AF6">
        <w:tc>
          <w:tcPr>
            <w:tcW w:w="1776"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776" w:type="dxa"/>
            <w:vAlign w:val="center"/>
          </w:tcPr>
          <w:p w:rsidR="00357E79" w:rsidRDefault="006E6E1D">
            <w:pPr>
              <w:jc w:val="center"/>
            </w:pPr>
            <w:r>
              <w:rPr>
                <w:rFonts w:ascii="仿宋_GB2312" w:eastAsia="仿宋_GB2312" w:hAnsi="仿宋_GB2312" w:cs="仿宋_GB2312"/>
                <w:sz w:val="24"/>
              </w:rPr>
              <w:t>费用类型</w:t>
            </w:r>
          </w:p>
        </w:tc>
        <w:tc>
          <w:tcPr>
            <w:tcW w:w="1798" w:type="dxa"/>
            <w:vAlign w:val="center"/>
          </w:tcPr>
          <w:p w:rsidR="00357E79" w:rsidRDefault="006E6E1D">
            <w:pPr>
              <w:jc w:val="center"/>
            </w:pPr>
            <w:r>
              <w:rPr>
                <w:rFonts w:ascii="仿宋_GB2312" w:eastAsia="仿宋_GB2312" w:hAnsi="仿宋_GB2312" w:cs="仿宋_GB2312"/>
                <w:sz w:val="24"/>
              </w:rPr>
              <w:t>报告期内支付金额（元）</w:t>
            </w:r>
          </w:p>
        </w:tc>
        <w:tc>
          <w:tcPr>
            <w:tcW w:w="2956"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1</w:t>
            </w:r>
          </w:p>
        </w:tc>
        <w:tc>
          <w:tcPr>
            <w:tcW w:w="1776" w:type="dxa"/>
            <w:vAlign w:val="center"/>
          </w:tcPr>
          <w:p w:rsidR="00F82AF6" w:rsidRDefault="00F82AF6" w:rsidP="00F82AF6">
            <w:pPr>
              <w:jc w:val="center"/>
            </w:pPr>
            <w:r>
              <w:rPr>
                <w:rFonts w:ascii="仿宋_GB2312" w:eastAsia="仿宋_GB2312" w:hAnsi="仿宋_GB2312" w:cs="仿宋_GB2312"/>
                <w:sz w:val="24"/>
              </w:rPr>
              <w:t>代销费</w:t>
            </w:r>
          </w:p>
        </w:tc>
        <w:tc>
          <w:tcPr>
            <w:tcW w:w="1798" w:type="dxa"/>
            <w:vAlign w:val="center"/>
          </w:tcPr>
          <w:p w:rsidR="00F82AF6" w:rsidRDefault="00F82AF6" w:rsidP="00F82AF6">
            <w:pPr>
              <w:jc w:val="center"/>
            </w:pPr>
            <w:r>
              <w:rPr>
                <w:rFonts w:ascii="仿宋_GB2312" w:eastAsia="仿宋_GB2312" w:hAnsi="仿宋_GB2312" w:cs="仿宋_GB2312"/>
                <w:sz w:val="24"/>
              </w:rPr>
              <w:t>38455.49</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2</w:t>
            </w:r>
          </w:p>
        </w:tc>
        <w:tc>
          <w:tcPr>
            <w:tcW w:w="1776" w:type="dxa"/>
            <w:vAlign w:val="center"/>
          </w:tcPr>
          <w:p w:rsidR="00F82AF6" w:rsidRDefault="00F82AF6" w:rsidP="00F82AF6">
            <w:pPr>
              <w:jc w:val="center"/>
            </w:pPr>
            <w:r>
              <w:rPr>
                <w:rFonts w:ascii="仿宋_GB2312" w:eastAsia="仿宋_GB2312" w:hAnsi="仿宋_GB2312" w:cs="仿宋_GB2312"/>
                <w:sz w:val="24"/>
              </w:rPr>
              <w:t>托管费</w:t>
            </w:r>
          </w:p>
        </w:tc>
        <w:tc>
          <w:tcPr>
            <w:tcW w:w="1798" w:type="dxa"/>
            <w:vAlign w:val="center"/>
          </w:tcPr>
          <w:p w:rsidR="00F82AF6" w:rsidRDefault="00F82AF6" w:rsidP="00F82AF6">
            <w:pPr>
              <w:jc w:val="center"/>
            </w:pPr>
            <w:r>
              <w:rPr>
                <w:rFonts w:ascii="仿宋_GB2312" w:eastAsia="仿宋_GB2312" w:hAnsi="仿宋_GB2312" w:cs="仿宋_GB2312"/>
                <w:sz w:val="24"/>
              </w:rPr>
              <w:t>20674.87</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bl>
    <w:p w:rsidR="009D54D8" w:rsidRDefault="009D54D8" w:rsidP="009D54D8">
      <w:pPr>
        <w:snapToGrid w:val="0"/>
        <w:spacing w:line="360" w:lineRule="auto"/>
        <w:rPr>
          <w:rFonts w:ascii="仿宋_GB2312" w:eastAsia="仿宋_GB2312"/>
          <w:b/>
          <w:color w:val="000000" w:themeColor="text1"/>
          <w:sz w:val="17"/>
          <w:szCs w:val="17"/>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6</w:t>
      </w:r>
      <w:r w:rsidR="009D54D8" w:rsidRPr="00673698">
        <w:rPr>
          <w:rFonts w:ascii="仿宋_GB2312" w:eastAsia="仿宋_GB2312" w:hint="eastAsia"/>
          <w:b/>
          <w:sz w:val="28"/>
          <w:szCs w:val="24"/>
        </w:rPr>
        <w:t> </w:t>
      </w:r>
      <w:r w:rsidR="009D54D8" w:rsidRPr="00673698">
        <w:rPr>
          <w:rFonts w:ascii="仿宋_GB2312" w:eastAsia="仿宋_GB2312" w:hint="eastAsia"/>
          <w:b/>
          <w:sz w:val="28"/>
          <w:szCs w:val="24"/>
        </w:rPr>
        <w:t>.影响投资者决策的其他重要信息</w:t>
      </w:r>
    </w:p>
    <w:p w:rsidR="009D54D8" w:rsidRPr="0087105A" w:rsidRDefault="0041186D" w:rsidP="0087105A">
      <w:pPr>
        <w:spacing w:line="360" w:lineRule="auto"/>
        <w:rPr>
          <w:rFonts w:ascii="仿宋_GB2312" w:eastAsia="仿宋_GB2312"/>
          <w:color w:val="000000"/>
          <w:sz w:val="24"/>
          <w:szCs w:val="24"/>
        </w:rPr>
      </w:pPr>
      <w:r>
        <w:rPr>
          <w:rFonts w:ascii="仿宋_GB2312" w:eastAsia="仿宋_GB2312" w:hint="eastAsia"/>
          <w:color w:val="000000"/>
          <w:sz w:val="24"/>
          <w:szCs w:val="24"/>
        </w:rPr>
        <w:t xml:space="preserve"> </w:t>
      </w:r>
      <w:r w:rsidR="00561A35">
        <w:rPr>
          <w:rFonts w:ascii="仿宋_GB2312" w:eastAsia="仿宋_GB2312"/>
          <w:color w:val="000000"/>
          <w:sz w:val="24"/>
          <w:szCs w:val="24"/>
        </w:rPr>
        <w:t>无</w:t>
      </w:r>
    </w:p>
    <w:p w:rsidR="009F0B9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7</w:t>
      </w:r>
      <w:r w:rsidR="009F0B98" w:rsidRPr="00673698">
        <w:rPr>
          <w:rFonts w:ascii="仿宋_GB2312" w:eastAsia="仿宋_GB2312" w:hint="eastAsia"/>
          <w:b/>
          <w:sz w:val="28"/>
          <w:szCs w:val="24"/>
        </w:rPr>
        <w:t>.托管机构报告</w:t>
      </w:r>
    </w:p>
    <w:p w:rsidR="00F63FAF" w:rsidRPr="00190127"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本报告期内，本托管人在对本产品托管过程中，严格遵守</w:t>
      </w:r>
      <w:r>
        <w:rPr>
          <w:rFonts w:ascii="仿宋_GB2312" w:eastAsia="仿宋_GB2312" w:hint="eastAsia"/>
          <w:color w:val="000000"/>
          <w:sz w:val="24"/>
          <w:szCs w:val="24"/>
        </w:rPr>
        <w:t>了</w:t>
      </w:r>
      <w:r w:rsidRPr="00353B5D">
        <w:rPr>
          <w:rFonts w:ascii="仿宋_GB2312" w:eastAsia="仿宋_GB2312" w:hint="eastAsia"/>
          <w:color w:val="000000"/>
          <w:sz w:val="24"/>
          <w:szCs w:val="24"/>
        </w:rPr>
        <w:t>《关于规范金融机构资产管理业务的指导意见》（银发〔2018〕106号）、《商业银行理财业务监督管理办法》（银保监会令〔2018〕6号）、《商业银行理财子公司管理办法》</w:t>
      </w:r>
      <w:r w:rsidRPr="007E297D">
        <w:rPr>
          <w:rFonts w:ascii="仿宋_GB2312" w:eastAsia="仿宋_GB2312" w:hint="eastAsia"/>
          <w:color w:val="000000"/>
          <w:sz w:val="24"/>
          <w:szCs w:val="24"/>
        </w:rPr>
        <w:t>（银保监会令〔2018〕7号）</w:t>
      </w:r>
      <w:r>
        <w:rPr>
          <w:rFonts w:ascii="仿宋_GB2312" w:eastAsia="仿宋_GB2312" w:hint="eastAsia"/>
          <w:color w:val="000000"/>
          <w:sz w:val="24"/>
          <w:szCs w:val="24"/>
        </w:rPr>
        <w:t>等相关法律法规</w:t>
      </w:r>
      <w:r w:rsidRPr="00353B5D">
        <w:rPr>
          <w:rFonts w:ascii="仿宋_GB2312" w:eastAsia="仿宋_GB2312" w:hint="eastAsia"/>
          <w:color w:val="000000"/>
          <w:sz w:val="24"/>
          <w:szCs w:val="24"/>
        </w:rPr>
        <w:t>、托管协议的规定，不存在损害投资者利益的行为，勤勉尽责地履行了托管人职责。</w:t>
      </w:r>
    </w:p>
    <w:p w:rsidR="0041011E" w:rsidRPr="00D742F1"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w:t>
      </w:r>
      <w:r>
        <w:rPr>
          <w:rFonts w:ascii="仿宋_GB2312" w:eastAsia="仿宋_GB2312" w:hint="eastAsia"/>
          <w:color w:val="000000"/>
          <w:sz w:val="24"/>
          <w:szCs w:val="24"/>
        </w:rPr>
        <w:t>复核了由管理人编制的</w:t>
      </w:r>
      <w:r w:rsidRPr="00353B5D">
        <w:rPr>
          <w:rFonts w:ascii="仿宋_GB2312" w:eastAsia="仿宋_GB2312" w:hint="eastAsia"/>
          <w:color w:val="000000"/>
          <w:sz w:val="24"/>
          <w:szCs w:val="24"/>
        </w:rPr>
        <w:t>本报告中的财务指标、净值表现、</w:t>
      </w:r>
      <w:r w:rsidRPr="0093160A">
        <w:rPr>
          <w:rFonts w:ascii="仿宋_GB2312" w:eastAsia="仿宋_GB2312" w:hint="eastAsia"/>
          <w:color w:val="000000"/>
          <w:sz w:val="24"/>
          <w:szCs w:val="24"/>
        </w:rPr>
        <w:t>报告期末产品资产组合情况（穿透前）、报告期末占比前十项资产明细</w:t>
      </w:r>
      <w:r w:rsidRPr="00353B5D">
        <w:rPr>
          <w:rFonts w:ascii="仿宋_GB2312" w:eastAsia="仿宋_GB2312" w:hint="eastAsia"/>
          <w:color w:val="000000"/>
          <w:sz w:val="24"/>
          <w:szCs w:val="24"/>
        </w:rPr>
        <w:t>等内容</w:t>
      </w:r>
      <w:r>
        <w:rPr>
          <w:rFonts w:ascii="仿宋_GB2312" w:eastAsia="仿宋_GB2312" w:hint="eastAsia"/>
          <w:color w:val="000000"/>
          <w:sz w:val="24"/>
          <w:szCs w:val="24"/>
        </w:rPr>
        <w:t>，未发现</w:t>
      </w:r>
      <w:r w:rsidRPr="0093160A">
        <w:rPr>
          <w:rFonts w:ascii="仿宋_GB2312" w:eastAsia="仿宋_GB2312" w:hint="eastAsia"/>
          <w:color w:val="000000"/>
          <w:sz w:val="24"/>
          <w:szCs w:val="24"/>
        </w:rPr>
        <w:t>存在虚假记载、误导性陈述或者重大遗漏</w:t>
      </w:r>
      <w:r>
        <w:rPr>
          <w:rFonts w:ascii="仿宋_GB2312" w:eastAsia="仿宋_GB2312" w:hint="eastAsia"/>
          <w:color w:val="000000"/>
          <w:sz w:val="24"/>
          <w:szCs w:val="24"/>
        </w:rPr>
        <w:t>的情形</w:t>
      </w:r>
      <w:r w:rsidRPr="00353B5D">
        <w:rPr>
          <w:rFonts w:ascii="仿宋_GB2312" w:eastAsia="仿宋_GB2312" w:hint="eastAsia"/>
          <w:color w:val="000000"/>
          <w:sz w:val="24"/>
          <w:szCs w:val="24"/>
        </w:rPr>
        <w:t>。</w:t>
      </w:r>
      <w:r w:rsidRPr="0093160A">
        <w:rPr>
          <w:rFonts w:ascii="仿宋_GB2312" w:eastAsia="仿宋_GB2312" w:hint="eastAsia"/>
          <w:color w:val="000000"/>
          <w:sz w:val="24"/>
          <w:szCs w:val="24"/>
        </w:rPr>
        <w:t>报告期末产品资产组合情况</w:t>
      </w:r>
      <w:r w:rsidRPr="00353B5D">
        <w:rPr>
          <w:rFonts w:ascii="仿宋_GB2312" w:eastAsia="仿宋_GB2312" w:hint="eastAsia"/>
          <w:color w:val="000000"/>
          <w:sz w:val="24"/>
          <w:szCs w:val="24"/>
        </w:rPr>
        <w:t>（</w:t>
      </w:r>
      <w:r>
        <w:rPr>
          <w:rFonts w:ascii="仿宋_GB2312" w:eastAsia="仿宋_GB2312" w:hint="eastAsia"/>
          <w:color w:val="000000"/>
          <w:sz w:val="24"/>
          <w:szCs w:val="24"/>
        </w:rPr>
        <w:t>穿透后</w:t>
      </w:r>
      <w:r w:rsidRPr="00353B5D">
        <w:rPr>
          <w:rFonts w:ascii="仿宋_GB2312" w:eastAsia="仿宋_GB2312" w:hint="eastAsia"/>
          <w:color w:val="000000"/>
          <w:sz w:val="24"/>
          <w:szCs w:val="24"/>
        </w:rPr>
        <w:t>）由管理人提供。</w:t>
      </w:r>
    </w:p>
    <w:sectPr w:rsidR="0041011E" w:rsidRPr="00D742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05AA" w:rsidRDefault="00E905AA" w:rsidP="00E61C1A">
      <w:r>
        <w:separator/>
      </w:r>
    </w:p>
  </w:endnote>
  <w:endnote w:type="continuationSeparator" w:id="0">
    <w:p w:rsidR="00E905AA" w:rsidRDefault="00E905AA" w:rsidP="00E61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简体">
    <w:altName w:val="等线"/>
    <w:charset w:val="86"/>
    <w:family w:val="auto"/>
    <w:pitch w:val="default"/>
    <w:sig w:usb0="00000000" w:usb1="00000000" w:usb2="00000000" w:usb3="00000000" w:csb0="00040000" w:csb1="00000000"/>
  </w:font>
  <w:font w:name="Arial Unicode MS">
    <w:panose1 w:val="020B0604020202020204"/>
    <w:charset w:val="00"/>
    <w:family w:val="roman"/>
    <w:pitch w:val="variable"/>
    <w:sig w:usb0="00000003"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05AA" w:rsidRDefault="00E905AA" w:rsidP="00E61C1A">
      <w:r>
        <w:separator/>
      </w:r>
    </w:p>
  </w:footnote>
  <w:footnote w:type="continuationSeparator" w:id="0">
    <w:p w:rsidR="00E905AA" w:rsidRDefault="00E905AA" w:rsidP="00E61C1A">
      <w:r>
        <w:continuationSeparator/>
      </w:r>
    </w:p>
  </w:footnote>
  <w:footnote w:id="1">
    <w:p w:rsidR="00E61C1A" w:rsidRDefault="00E61C1A" w:rsidP="00E61C1A">
      <w:pPr>
        <w:pStyle w:val="a7"/>
      </w:pPr>
      <w:r>
        <w:rPr>
          <w:rStyle w:val="a9"/>
        </w:rPr>
        <w:footnoteRef/>
      </w:r>
      <w:r>
        <w:rPr>
          <w:rFonts w:hint="eastAsia"/>
          <w:sz w:val="15"/>
          <w:szCs w:val="15"/>
        </w:rPr>
        <w:t>产品登记编码指本产品在全国银行理财信息登记系统获取的登记编码。</w:t>
      </w:r>
    </w:p>
  </w:footnote>
  <w:footnote w:id="2">
    <w:p w:rsidR="00F63FAF" w:rsidRDefault="00F63FAF" w:rsidP="00F63FAF">
      <w:pPr>
        <w:pStyle w:val="a7"/>
      </w:pPr>
      <w:r>
        <w:rPr>
          <w:rStyle w:val="a9"/>
        </w:rPr>
        <w:footnoteRef/>
      </w:r>
      <w:r w:rsidRPr="00C53238">
        <w:rPr>
          <w:rFonts w:hint="eastAsia"/>
          <w:sz w:val="15"/>
          <w:szCs w:val="15"/>
        </w:rPr>
        <w:t>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需谨慎。</w:t>
      </w:r>
      <w:r>
        <w:rPr>
          <w:rFonts w:hint="eastAsia"/>
          <w:sz w:val="15"/>
          <w:szCs w:val="15"/>
        </w:rPr>
        <w:t>业绩比较基准测算依据详见具体理财产品的产品说明书。</w:t>
      </w:r>
    </w:p>
  </w:footnote>
  <w:footnote w:id="3">
    <w:p w:rsidR="00DE496A" w:rsidRDefault="00DE496A" w:rsidP="00DE496A">
      <w:pPr>
        <w:pStyle w:val="a7"/>
        <w:rPr>
          <w:sz w:val="15"/>
          <w:szCs w:val="15"/>
        </w:rPr>
      </w:pPr>
      <w:r>
        <w:rPr>
          <w:rStyle w:val="a9"/>
        </w:rPr>
        <w:footnoteRef/>
      </w:r>
      <w:r>
        <w:rPr>
          <w:rFonts w:hint="eastAsia"/>
        </w:rPr>
        <w:t xml:space="preserve"> </w:t>
      </w:r>
      <w:r>
        <w:rPr>
          <w:rFonts w:hint="eastAsia"/>
          <w:sz w:val="15"/>
          <w:szCs w:val="15"/>
        </w:rPr>
        <w:t>本报告</w:t>
      </w:r>
      <w:r w:rsidR="00045E04">
        <w:rPr>
          <w:rFonts w:hint="eastAsia"/>
          <w:kern w:val="0"/>
          <w:sz w:val="15"/>
          <w:szCs w:val="15"/>
        </w:rPr>
        <w:t>所称非标准化债权资产，指根据《关于规范金融机构资产管理业务的指导意见》规定，标准化债权类资产之外的债权类资产，以及不符合《标准化债权类资产认定规则》第一条、第二条、第三条所列条件的债权类资产，但存款（包括大额存单）以及债券逆回购、同业拆借等形成的资产除外</w:t>
      </w:r>
      <w:r>
        <w:rPr>
          <w:rFonts w:hint="eastAsia"/>
          <w:sz w:val="15"/>
          <w:szCs w:val="15"/>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262"/>
    <w:rsid w:val="00007C81"/>
    <w:rsid w:val="00013762"/>
    <w:rsid w:val="0002213E"/>
    <w:rsid w:val="00023644"/>
    <w:rsid w:val="0004385D"/>
    <w:rsid w:val="00045E04"/>
    <w:rsid w:val="00064FD2"/>
    <w:rsid w:val="00077F23"/>
    <w:rsid w:val="000868F8"/>
    <w:rsid w:val="000A1BF7"/>
    <w:rsid w:val="000D03B4"/>
    <w:rsid w:val="000E6BAE"/>
    <w:rsid w:val="000F0E27"/>
    <w:rsid w:val="00104F7B"/>
    <w:rsid w:val="00105597"/>
    <w:rsid w:val="0011739F"/>
    <w:rsid w:val="00130728"/>
    <w:rsid w:val="001465A6"/>
    <w:rsid w:val="00151E2B"/>
    <w:rsid w:val="0016364F"/>
    <w:rsid w:val="001665C9"/>
    <w:rsid w:val="00177133"/>
    <w:rsid w:val="001814DB"/>
    <w:rsid w:val="00185B93"/>
    <w:rsid w:val="001C7832"/>
    <w:rsid w:val="002029ED"/>
    <w:rsid w:val="00211495"/>
    <w:rsid w:val="00213ECF"/>
    <w:rsid w:val="00241453"/>
    <w:rsid w:val="00274D37"/>
    <w:rsid w:val="002815D5"/>
    <w:rsid w:val="00310434"/>
    <w:rsid w:val="00353B5D"/>
    <w:rsid w:val="00355741"/>
    <w:rsid w:val="00357E79"/>
    <w:rsid w:val="003675B8"/>
    <w:rsid w:val="00367DBF"/>
    <w:rsid w:val="00380BE2"/>
    <w:rsid w:val="003C2427"/>
    <w:rsid w:val="003F480F"/>
    <w:rsid w:val="00400A77"/>
    <w:rsid w:val="0041011E"/>
    <w:rsid w:val="0041186D"/>
    <w:rsid w:val="0041666B"/>
    <w:rsid w:val="0042245C"/>
    <w:rsid w:val="00424DA4"/>
    <w:rsid w:val="0043745C"/>
    <w:rsid w:val="00442040"/>
    <w:rsid w:val="0047376E"/>
    <w:rsid w:val="00476B87"/>
    <w:rsid w:val="0048092C"/>
    <w:rsid w:val="004B16AF"/>
    <w:rsid w:val="004D1F35"/>
    <w:rsid w:val="004D53B0"/>
    <w:rsid w:val="004E272F"/>
    <w:rsid w:val="004F4999"/>
    <w:rsid w:val="0050062C"/>
    <w:rsid w:val="00520FF9"/>
    <w:rsid w:val="00532B3C"/>
    <w:rsid w:val="005408B6"/>
    <w:rsid w:val="00542257"/>
    <w:rsid w:val="00545A62"/>
    <w:rsid w:val="00561A35"/>
    <w:rsid w:val="00564E1C"/>
    <w:rsid w:val="0058623B"/>
    <w:rsid w:val="005A4690"/>
    <w:rsid w:val="005B0E63"/>
    <w:rsid w:val="005E05A6"/>
    <w:rsid w:val="00607986"/>
    <w:rsid w:val="00622F95"/>
    <w:rsid w:val="006304A5"/>
    <w:rsid w:val="00641A8E"/>
    <w:rsid w:val="006428C9"/>
    <w:rsid w:val="006508A1"/>
    <w:rsid w:val="00673698"/>
    <w:rsid w:val="00683E6A"/>
    <w:rsid w:val="006A530B"/>
    <w:rsid w:val="006B3EDC"/>
    <w:rsid w:val="006B6F97"/>
    <w:rsid w:val="006C006D"/>
    <w:rsid w:val="006D009D"/>
    <w:rsid w:val="006D52E9"/>
    <w:rsid w:val="006E00B8"/>
    <w:rsid w:val="006E467D"/>
    <w:rsid w:val="006E6E1D"/>
    <w:rsid w:val="0070128A"/>
    <w:rsid w:val="00711809"/>
    <w:rsid w:val="00711E74"/>
    <w:rsid w:val="007167B6"/>
    <w:rsid w:val="0072364B"/>
    <w:rsid w:val="00745DD1"/>
    <w:rsid w:val="00765827"/>
    <w:rsid w:val="007661A0"/>
    <w:rsid w:val="00781652"/>
    <w:rsid w:val="007901AB"/>
    <w:rsid w:val="007B3C42"/>
    <w:rsid w:val="007C4AD3"/>
    <w:rsid w:val="007D042E"/>
    <w:rsid w:val="007E2254"/>
    <w:rsid w:val="008457EB"/>
    <w:rsid w:val="00870520"/>
    <w:rsid w:val="0087105A"/>
    <w:rsid w:val="0089262E"/>
    <w:rsid w:val="008A1CCB"/>
    <w:rsid w:val="008D2272"/>
    <w:rsid w:val="008D4921"/>
    <w:rsid w:val="009027FB"/>
    <w:rsid w:val="00910645"/>
    <w:rsid w:val="00921584"/>
    <w:rsid w:val="0093653B"/>
    <w:rsid w:val="009606B6"/>
    <w:rsid w:val="00973891"/>
    <w:rsid w:val="009917B4"/>
    <w:rsid w:val="0099247B"/>
    <w:rsid w:val="00992907"/>
    <w:rsid w:val="009A5542"/>
    <w:rsid w:val="009B6B6E"/>
    <w:rsid w:val="009D54D8"/>
    <w:rsid w:val="009F0B98"/>
    <w:rsid w:val="00A03BE7"/>
    <w:rsid w:val="00A24325"/>
    <w:rsid w:val="00A25200"/>
    <w:rsid w:val="00A71EBD"/>
    <w:rsid w:val="00A7331C"/>
    <w:rsid w:val="00A768E1"/>
    <w:rsid w:val="00A94BBD"/>
    <w:rsid w:val="00AA259A"/>
    <w:rsid w:val="00B101C9"/>
    <w:rsid w:val="00B129BB"/>
    <w:rsid w:val="00B21FEE"/>
    <w:rsid w:val="00B2798E"/>
    <w:rsid w:val="00B45D29"/>
    <w:rsid w:val="00B9403A"/>
    <w:rsid w:val="00B946A3"/>
    <w:rsid w:val="00BB17CD"/>
    <w:rsid w:val="00BC4844"/>
    <w:rsid w:val="00BE4FE3"/>
    <w:rsid w:val="00C037F3"/>
    <w:rsid w:val="00C2222B"/>
    <w:rsid w:val="00C63D92"/>
    <w:rsid w:val="00C72442"/>
    <w:rsid w:val="00C734DA"/>
    <w:rsid w:val="00CA6A9F"/>
    <w:rsid w:val="00CC27D0"/>
    <w:rsid w:val="00CF313D"/>
    <w:rsid w:val="00D170C5"/>
    <w:rsid w:val="00D37F3B"/>
    <w:rsid w:val="00D45CCD"/>
    <w:rsid w:val="00D601E1"/>
    <w:rsid w:val="00D6056D"/>
    <w:rsid w:val="00D742F1"/>
    <w:rsid w:val="00D8270F"/>
    <w:rsid w:val="00DB0291"/>
    <w:rsid w:val="00DC25F6"/>
    <w:rsid w:val="00DC4049"/>
    <w:rsid w:val="00DD7BD2"/>
    <w:rsid w:val="00DE1F30"/>
    <w:rsid w:val="00DE496A"/>
    <w:rsid w:val="00E164A4"/>
    <w:rsid w:val="00E42D4C"/>
    <w:rsid w:val="00E61C1A"/>
    <w:rsid w:val="00E63347"/>
    <w:rsid w:val="00E905AA"/>
    <w:rsid w:val="00E927F9"/>
    <w:rsid w:val="00E970C7"/>
    <w:rsid w:val="00EE13AE"/>
    <w:rsid w:val="00F1679D"/>
    <w:rsid w:val="00F31BD2"/>
    <w:rsid w:val="00F40369"/>
    <w:rsid w:val="00F44DBD"/>
    <w:rsid w:val="00F621F3"/>
    <w:rsid w:val="00F63FAF"/>
    <w:rsid w:val="00F711B3"/>
    <w:rsid w:val="00F82AF6"/>
    <w:rsid w:val="00F864D2"/>
    <w:rsid w:val="00FB1262"/>
    <w:rsid w:val="00FB4D10"/>
    <w:rsid w:val="00FC64B6"/>
    <w:rsid w:val="00FE35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B0497A1-628E-4B2B-8874-7E655DB21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1C1A"/>
    <w:pPr>
      <w:widowControl w:val="0"/>
      <w:jc w:val="both"/>
    </w:pPr>
    <w:rPr>
      <w:rFonts w:ascii="Times New Roman" w:eastAsia="方正仿宋简体"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1C1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61C1A"/>
    <w:rPr>
      <w:sz w:val="18"/>
      <w:szCs w:val="18"/>
    </w:rPr>
  </w:style>
  <w:style w:type="paragraph" w:styleId="a5">
    <w:name w:val="footer"/>
    <w:basedOn w:val="a"/>
    <w:link w:val="a6"/>
    <w:uiPriority w:val="99"/>
    <w:unhideWhenUsed/>
    <w:rsid w:val="00E61C1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61C1A"/>
    <w:rPr>
      <w:sz w:val="18"/>
      <w:szCs w:val="18"/>
    </w:rPr>
  </w:style>
  <w:style w:type="paragraph" w:styleId="a7">
    <w:name w:val="footnote text"/>
    <w:basedOn w:val="a"/>
    <w:link w:val="a8"/>
    <w:uiPriority w:val="99"/>
    <w:semiHidden/>
    <w:qFormat/>
    <w:rsid w:val="00E61C1A"/>
    <w:pPr>
      <w:snapToGrid w:val="0"/>
      <w:jc w:val="left"/>
    </w:pPr>
    <w:rPr>
      <w:rFonts w:eastAsia="宋体"/>
      <w:sz w:val="18"/>
      <w:szCs w:val="18"/>
    </w:rPr>
  </w:style>
  <w:style w:type="character" w:customStyle="1" w:styleId="a8">
    <w:name w:val="脚注文本 字符"/>
    <w:basedOn w:val="a0"/>
    <w:link w:val="a7"/>
    <w:uiPriority w:val="99"/>
    <w:semiHidden/>
    <w:rsid w:val="00E61C1A"/>
    <w:rPr>
      <w:rFonts w:ascii="Times New Roman" w:eastAsia="宋体" w:hAnsi="Times New Roman" w:cs="Times New Roman"/>
      <w:sz w:val="18"/>
      <w:szCs w:val="18"/>
    </w:rPr>
  </w:style>
  <w:style w:type="character" w:styleId="a9">
    <w:name w:val="footnote reference"/>
    <w:uiPriority w:val="99"/>
    <w:semiHidden/>
    <w:qFormat/>
    <w:rsid w:val="00E61C1A"/>
    <w:rPr>
      <w:vertAlign w:val="superscript"/>
    </w:rPr>
  </w:style>
  <w:style w:type="paragraph" w:styleId="aa">
    <w:name w:val="Normal (Web)"/>
    <w:basedOn w:val="a"/>
    <w:uiPriority w:val="99"/>
    <w:qFormat/>
    <w:rsid w:val="004E272F"/>
    <w:pPr>
      <w:widowControl/>
      <w:spacing w:before="100" w:beforeAutospacing="1" w:after="100" w:afterAutospacing="1"/>
      <w:jc w:val="left"/>
    </w:pPr>
    <w:rPr>
      <w:rFonts w:ascii="宋体" w:eastAsia="宋体" w:hAnsi="宋体"/>
      <w:kern w:val="0"/>
      <w:sz w:val="24"/>
      <w:szCs w:val="24"/>
    </w:rPr>
  </w:style>
  <w:style w:type="table" w:styleId="ab">
    <w:name w:val="Table Grid"/>
    <w:basedOn w:val="a1"/>
    <w:uiPriority w:val="59"/>
    <w:rsid w:val="004E272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3">
    <w:name w:val="xl33"/>
    <w:basedOn w:val="a"/>
    <w:uiPriority w:val="99"/>
    <w:qFormat/>
    <w:rsid w:val="00DE496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character" w:styleId="ac">
    <w:name w:val="Hyperlink"/>
    <w:basedOn w:val="a0"/>
    <w:uiPriority w:val="99"/>
    <w:semiHidden/>
    <w:unhideWhenUsed/>
    <w:rsid w:val="0041011E"/>
    <w:rPr>
      <w:color w:val="0000FF"/>
      <w:u w:val="single"/>
    </w:rPr>
  </w:style>
  <w:style w:type="paragraph" w:styleId="ad">
    <w:name w:val="Balloon Text"/>
    <w:basedOn w:val="a"/>
    <w:link w:val="ae"/>
    <w:uiPriority w:val="99"/>
    <w:semiHidden/>
    <w:unhideWhenUsed/>
    <w:rsid w:val="00545A62"/>
    <w:rPr>
      <w:sz w:val="18"/>
      <w:szCs w:val="18"/>
    </w:rPr>
  </w:style>
  <w:style w:type="character" w:customStyle="1" w:styleId="ae">
    <w:name w:val="批注框文本 字符"/>
    <w:basedOn w:val="a0"/>
    <w:link w:val="ad"/>
    <w:uiPriority w:val="99"/>
    <w:semiHidden/>
    <w:rsid w:val="00545A62"/>
    <w:rPr>
      <w:rFonts w:ascii="Times New Roman" w:eastAsia="方正仿宋简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059127">
      <w:bodyDiv w:val="1"/>
      <w:marLeft w:val="0"/>
      <w:marRight w:val="0"/>
      <w:marTop w:val="0"/>
      <w:marBottom w:val="0"/>
      <w:divBdr>
        <w:top w:val="none" w:sz="0" w:space="0" w:color="auto"/>
        <w:left w:val="none" w:sz="0" w:space="0" w:color="auto"/>
        <w:bottom w:val="none" w:sz="0" w:space="0" w:color="auto"/>
        <w:right w:val="none" w:sz="0" w:space="0" w:color="auto"/>
      </w:divBdr>
    </w:div>
    <w:div w:id="467673091">
      <w:bodyDiv w:val="1"/>
      <w:marLeft w:val="0"/>
      <w:marRight w:val="0"/>
      <w:marTop w:val="0"/>
      <w:marBottom w:val="0"/>
      <w:divBdr>
        <w:top w:val="none" w:sz="0" w:space="0" w:color="auto"/>
        <w:left w:val="none" w:sz="0" w:space="0" w:color="auto"/>
        <w:bottom w:val="none" w:sz="0" w:space="0" w:color="auto"/>
        <w:right w:val="none" w:sz="0" w:space="0" w:color="auto"/>
      </w:divBdr>
    </w:div>
    <w:div w:id="519855840">
      <w:bodyDiv w:val="1"/>
      <w:marLeft w:val="0"/>
      <w:marRight w:val="0"/>
      <w:marTop w:val="0"/>
      <w:marBottom w:val="0"/>
      <w:divBdr>
        <w:top w:val="none" w:sz="0" w:space="0" w:color="auto"/>
        <w:left w:val="none" w:sz="0" w:space="0" w:color="auto"/>
        <w:bottom w:val="none" w:sz="0" w:space="0" w:color="auto"/>
        <w:right w:val="none" w:sz="0" w:space="0" w:color="auto"/>
      </w:divBdr>
    </w:div>
    <w:div w:id="585500522">
      <w:bodyDiv w:val="1"/>
      <w:marLeft w:val="0"/>
      <w:marRight w:val="0"/>
      <w:marTop w:val="0"/>
      <w:marBottom w:val="0"/>
      <w:divBdr>
        <w:top w:val="none" w:sz="0" w:space="0" w:color="auto"/>
        <w:left w:val="none" w:sz="0" w:space="0" w:color="auto"/>
        <w:bottom w:val="none" w:sz="0" w:space="0" w:color="auto"/>
        <w:right w:val="none" w:sz="0" w:space="0" w:color="auto"/>
      </w:divBdr>
    </w:div>
    <w:div w:id="719522124">
      <w:bodyDiv w:val="1"/>
      <w:marLeft w:val="0"/>
      <w:marRight w:val="0"/>
      <w:marTop w:val="0"/>
      <w:marBottom w:val="0"/>
      <w:divBdr>
        <w:top w:val="none" w:sz="0" w:space="0" w:color="auto"/>
        <w:left w:val="none" w:sz="0" w:space="0" w:color="auto"/>
        <w:bottom w:val="none" w:sz="0" w:space="0" w:color="auto"/>
        <w:right w:val="none" w:sz="0" w:space="0" w:color="auto"/>
      </w:divBdr>
    </w:div>
    <w:div w:id="791020845">
      <w:bodyDiv w:val="1"/>
      <w:marLeft w:val="0"/>
      <w:marRight w:val="0"/>
      <w:marTop w:val="0"/>
      <w:marBottom w:val="0"/>
      <w:divBdr>
        <w:top w:val="none" w:sz="0" w:space="0" w:color="auto"/>
        <w:left w:val="none" w:sz="0" w:space="0" w:color="auto"/>
        <w:bottom w:val="none" w:sz="0" w:space="0" w:color="auto"/>
        <w:right w:val="none" w:sz="0" w:space="0" w:color="auto"/>
      </w:divBdr>
    </w:div>
    <w:div w:id="920481556">
      <w:bodyDiv w:val="1"/>
      <w:marLeft w:val="0"/>
      <w:marRight w:val="0"/>
      <w:marTop w:val="0"/>
      <w:marBottom w:val="0"/>
      <w:divBdr>
        <w:top w:val="none" w:sz="0" w:space="0" w:color="auto"/>
        <w:left w:val="none" w:sz="0" w:space="0" w:color="auto"/>
        <w:bottom w:val="none" w:sz="0" w:space="0" w:color="auto"/>
        <w:right w:val="none" w:sz="0" w:space="0" w:color="auto"/>
      </w:divBdr>
    </w:div>
    <w:div w:id="973872278">
      <w:bodyDiv w:val="1"/>
      <w:marLeft w:val="0"/>
      <w:marRight w:val="0"/>
      <w:marTop w:val="0"/>
      <w:marBottom w:val="0"/>
      <w:divBdr>
        <w:top w:val="none" w:sz="0" w:space="0" w:color="auto"/>
        <w:left w:val="none" w:sz="0" w:space="0" w:color="auto"/>
        <w:bottom w:val="none" w:sz="0" w:space="0" w:color="auto"/>
        <w:right w:val="none" w:sz="0" w:space="0" w:color="auto"/>
      </w:divBdr>
    </w:div>
    <w:div w:id="1349141903">
      <w:bodyDiv w:val="1"/>
      <w:marLeft w:val="0"/>
      <w:marRight w:val="0"/>
      <w:marTop w:val="0"/>
      <w:marBottom w:val="0"/>
      <w:divBdr>
        <w:top w:val="none" w:sz="0" w:space="0" w:color="auto"/>
        <w:left w:val="none" w:sz="0" w:space="0" w:color="auto"/>
        <w:bottom w:val="none" w:sz="0" w:space="0" w:color="auto"/>
        <w:right w:val="none" w:sz="0" w:space="0" w:color="auto"/>
      </w:divBdr>
    </w:div>
    <w:div w:id="1503281975">
      <w:bodyDiv w:val="1"/>
      <w:marLeft w:val="0"/>
      <w:marRight w:val="0"/>
      <w:marTop w:val="0"/>
      <w:marBottom w:val="0"/>
      <w:divBdr>
        <w:top w:val="none" w:sz="0" w:space="0" w:color="auto"/>
        <w:left w:val="none" w:sz="0" w:space="0" w:color="auto"/>
        <w:bottom w:val="none" w:sz="0" w:space="0" w:color="auto"/>
        <w:right w:val="none" w:sz="0" w:space="0" w:color="auto"/>
      </w:divBdr>
    </w:div>
    <w:div w:id="1713580885">
      <w:bodyDiv w:val="1"/>
      <w:marLeft w:val="0"/>
      <w:marRight w:val="0"/>
      <w:marTop w:val="0"/>
      <w:marBottom w:val="0"/>
      <w:divBdr>
        <w:top w:val="none" w:sz="0" w:space="0" w:color="auto"/>
        <w:left w:val="none" w:sz="0" w:space="0" w:color="auto"/>
        <w:bottom w:val="none" w:sz="0" w:space="0" w:color="auto"/>
        <w:right w:val="none" w:sz="0" w:space="0" w:color="auto"/>
      </w:divBdr>
    </w:div>
    <w:div w:id="213493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376</Words>
  <Characters>2145</Characters>
  <Application>Microsoft Office Word</Application>
  <DocSecurity>0</DocSecurity>
  <Lines>17</Lines>
  <Paragraphs>5</Paragraphs>
  <ScaleCrop>false</ScaleCrop>
  <Company/>
  <LinksUpToDate>false</LinksUpToDate>
  <CharactersWithSpaces>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2025-07-04T06:24:00Z</dcterms:created>
  <dc:creator>DEVVDI02</dc:creator>
  <cp:lastModifiedBy>李鹭</cp:lastModifiedBy>
  <dcterms:modified xsi:type="dcterms:W3CDTF">2025-07-04T06:24:00Z</dcterms:modified>
  <cp:revision>2</cp:revision>
</cp:coreProperties>
</file>