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浦银理财悦丰利增盈97号理财产品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2301249518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销售代码：2301244079/2301244080/2501240346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Z7006924001193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2024-12-20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26,771,814.78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2301244079:2.65%-2.95%</w:t>
              <w:br w:type="textWrapping"/>
              <w:t>2301244080:2.70%-3.00%</w:t>
              <w:br w:type="textWrapping"/>
              <w:t>2501240346:2.75%-3.05%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2301249518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27,747,247.55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2301244079:1.036227</w:t>
              <w:br w:type="textWrapping"/>
              <w:t>2301244080:1.036851</w:t>
              <w:br w:type="textWrapping"/>
              <w:t>2501240346:1.037513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2301244079:1.036227</w:t>
              <w:br w:type="textWrapping"/>
              <w:t>2301244080:1.036851</w:t>
              <w:br w:type="textWrapping"/>
              <w:t>2501240346:1.037513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7,229,482.28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26.04%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7,394,405.45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26.64%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8,212,122.28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29.58%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144,570.68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20,531,946.77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73.96%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12,010,330.64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43.26%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27,761,429.05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27,761,429.05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短久期的利率品、中短久期的高等级信用债为主，并用资产管理计划、信托计划增厚收益，严格控制组合久期及杠杆率。控制产品中中高流动性资产占比不低于40%，杠杆保持在140%以内。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附：本报告期内，本产品理财投资合作机构为“江苏省国际信托有限责任公司、广东粤财信托有限公司、上海国际信托有限公司、国投泰康信托有限公司”。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海尔集团(青岛)金盈控股有限公司信托贷款业务-悦丰利97号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12,010,330.64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43.28%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7,503,149.13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7,229,482.28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1,018,467.00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海尔集团(青岛)金盈控股有限公司</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海尔集团(青岛)金盈控股有限公司信托贷款业务-悦丰利97号</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信托贷款</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43.28%</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4424.98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8849.96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92894.62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47831.32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24海金03</w:t>
            </w:r>
          </w:p>
        </w:tc>
        <w:tc>
          <w:tcPr>
            <w:tcW w:w="1571" w:type="dxa"/>
            <w:vAlign w:val="center"/>
          </w:tcPr>
          <w:p w:rsidR="00357E79" w:rsidRDefault="00F621F3">
            <w:pPr>
              <w:jc w:val="center"/>
            </w:pPr>
            <w:r>
              <w:rPr>
                <w:rFonts w:ascii="仿宋_GB2312" w:eastAsia="仿宋_GB2312" w:hAnsi="仿宋_GB2312" w:cs="仿宋_GB2312"/>
                <w:sz w:val="24"/>
              </w:rPr>
              <w:t>47752.34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24中华财险资本补充债</w:t>
            </w:r>
          </w:p>
        </w:tc>
        <w:tc>
          <w:tcPr>
            <w:tcW w:w="1571" w:type="dxa"/>
            <w:vAlign w:val="center"/>
          </w:tcPr>
          <w:p w:rsidR="00357E79" w:rsidRDefault="00F621F3">
            <w:pPr>
              <w:jc w:val="center"/>
            </w:pPr>
            <w:r>
              <w:rPr>
                <w:rFonts w:ascii="仿宋_GB2312" w:eastAsia="仿宋_GB2312" w:hAnsi="仿宋_GB2312" w:cs="仿宋_GB2312"/>
                <w:sz w:val="24"/>
              </w:rPr>
              <w:t>97389.78</w:t>
            </w:r>
          </w:p>
        </w:tc>
        <w:tc>
          <w:tcPr>
            <w:tcW w:w="1910" w:type="dxa"/>
            <w:vAlign w:val="center"/>
          </w:tcPr>
          <w:p w:rsidR="00357E79" w:rsidRDefault="00F621F3">
            <w:pPr>
              <w:jc w:val="center"/>
            </w:pPr>
            <w:r>
              <w:rPr>
                <w:rFonts w:ascii="仿宋_GB2312" w:eastAsia="仿宋_GB2312" w:hAnsi="仿宋_GB2312" w:cs="仿宋_GB2312" w:hint="eastAsia"/>
                <w:sz w:val="24"/>
              </w:rPr>
              <w:t>中华联合财产保险股份有限公司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24美的置业MTN003</w:t>
            </w:r>
          </w:p>
        </w:tc>
        <w:tc>
          <w:tcPr>
            <w:tcW w:w="1571" w:type="dxa"/>
            <w:vAlign w:val="center"/>
          </w:tcPr>
          <w:p w:rsidR="00357E79" w:rsidRDefault="00F621F3">
            <w:pPr>
              <w:jc w:val="center"/>
            </w:pPr>
            <w:r>
              <w:rPr>
                <w:rFonts w:ascii="仿宋_GB2312" w:eastAsia="仿宋_GB2312" w:hAnsi="仿宋_GB2312" w:cs="仿宋_GB2312"/>
                <w:sz w:val="24"/>
              </w:rPr>
              <w:t>198248.79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26中华企业MTN001</w:t>
            </w:r>
          </w:p>
        </w:tc>
        <w:tc>
          <w:tcPr>
            <w:tcW w:w="1571" w:type="dxa"/>
            <w:vAlign w:val="center"/>
          </w:tcPr>
          <w:p w:rsidR="00357E79" w:rsidRDefault="00F621F3">
            <w:pPr>
              <w:jc w:val="center"/>
            </w:pPr>
            <w:r>
              <w:rPr>
                <w:rFonts w:ascii="仿宋_GB2312" w:eastAsia="仿宋_GB2312" w:hAnsi="仿宋_GB2312" w:cs="仿宋_GB2312"/>
                <w:sz w:val="24"/>
              </w:rPr>
              <w:t>131637.28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25757.88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129019.69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5.93</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海尔集团(青岛)金盈控股有限公司信托贷款业务-悦丰利97号</w:t>
            </w:r>
          </w:p>
        </w:tc>
        <w:tc>
          <w:tcPr>
            <w:tcW w:w="2000" w:type="dxa"/>
            <w:vAlign w:val="center"/>
          </w:tcPr>
          <w:p w:rsidR="00357E79" w:rsidRDefault="00F82AF6">
            <w:pPr>
              <w:jc w:val="center"/>
            </w:pPr>
            <w:r>
              <w:rPr>
                <w:rFonts w:ascii="仿宋_GB2312" w:eastAsia="仿宋_GB2312" w:hAnsi="仿宋_GB2312" w:cs="仿宋_GB2312"/>
                <w:sz w:val="24"/>
              </w:rPr>
              <w:t>4438.10</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海富通欣睿C</w:t>
            </w:r>
          </w:p>
        </w:tc>
        <w:tc>
          <w:tcPr>
            <w:tcW w:w="2000" w:type="dxa"/>
            <w:vAlign w:val="center"/>
          </w:tcPr>
          <w:p w:rsidR="00357E79" w:rsidRDefault="00F82AF6">
            <w:pPr>
              <w:jc w:val="center"/>
            </w:pPr>
            <w:r>
              <w:rPr>
                <w:rFonts w:ascii="仿宋_GB2312" w:eastAsia="仿宋_GB2312" w:hAnsi="仿宋_GB2312" w:cs="仿宋_GB2312"/>
                <w:sz w:val="24"/>
              </w:rPr>
              <w:t>4.60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16.65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66.41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49.29</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14779.67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2069.15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