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浦银理财悦丰利增盈103号理财产品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2301249522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销售代码：2301244092/2501240348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Z7006924001194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2025-01-03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5,697,800.00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2301244092:2.65%-2.95%</w:t>
              <w:br w:type="textWrapping"/>
              <w:t>2501240348:2.75%-3.05%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2301249522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5,877,853.40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2301244092:1.031455</w:t>
              <w:br w:type="textWrapping"/>
              <w:t>2501240348:1.032733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2301244092:1.031455</w:t>
              <w:br w:type="textWrapping"/>
              <w:t>2501240348:1.032733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3,877,911.91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65.95%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3,877,911.91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65.95%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2,001,721.78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34.05%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2,001,721.78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34.05%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5,879,633.69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5,879,633.69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产品主要采用票息+杠杆策略，在严控信用风险前提下买入高票息债券，通过适度杠杆增厚组合收益。同时搭配保险协存、非标等稳定类资产，降低组合整体波动率。无流动性风险。</w:t>
        <w:cr/>
        <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附：本报告期内，本产品理财投资合作机构为“国投泰康信托有限公司、上海国际信托有限公司”。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3,877,911.91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65.97%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海尔集团(青岛)金盈控股有限公司信托贷款业务-悦丰利103号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2,001,721.78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34.06%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海尔集团(青岛)金盈控股有限公司</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海尔集团(青岛)金盈控股有限公司信托贷款业务-悦丰利103号</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信托贷款</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34.06%</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海尔集团(青岛)金盈控股有限公司信托贷款业务-悦丰利103号</w:t>
            </w:r>
          </w:p>
        </w:tc>
        <w:tc>
          <w:tcPr>
            <w:tcW w:w="2000" w:type="dxa"/>
            <w:vAlign w:val="center"/>
          </w:tcPr>
          <w:p w:rsidR="00357E79" w:rsidRDefault="00F82AF6">
            <w:pPr>
              <w:jc w:val="center"/>
            </w:pPr>
            <w:r>
              <w:rPr>
                <w:rFonts w:ascii="仿宋_GB2312" w:eastAsia="仿宋_GB2312" w:hAnsi="仿宋_GB2312" w:cs="仿宋_GB2312"/>
                <w:sz w:val="24"/>
              </w:rPr>
              <w:t>739.68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3198.87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439.17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