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浦银理财年年鑫最短持有期26号理财产品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2301250452</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销售代码：2301251922/2301251923</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Z7006925000409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2025-05-09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232,088,496.70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2301251922:2.25%-2.55%</w:t>
              <w:br w:type="textWrapping"/>
              <w:t>2301251923:2.27%-2.57%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2301250452</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239,672,528.87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2301251922:1.0327</w:t>
              <w:br w:type="textWrapping"/>
              <w:t>2301251923:1.0327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2301251922:1.0327</w:t>
              <w:br w:type="textWrapping"/>
              <w:t>2301251923:1.0327</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78,537,654.97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32.76%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81,237,550.31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33.89%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156,117,458.43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65.12%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2,370,427.51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0.99%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161,187,781.28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67.24%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239,725,436.25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239,725,436.25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投资策略以配置估值稳定资产为主，适当配置短期限信用债，同时适当通过杠杆等方式增厚收益，相机通过久期调整获取超额收益。报告期内组合流动性资产比例维持在较高水准，未有流动性风险情况。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161,187,781.28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67.25%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78,537,654.97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32.77%</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15455.23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69548.49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17020.63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17020.50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99916.59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20109.91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71323.34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61133.03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293148.65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64170.29</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13829.27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