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ascii="华文细黑" w:hAnsi="华文细黑" w:eastAsia="华文细黑" w:cs="华文细黑"/>
          <w:b/>
          <w:color w:val="000000"/>
          <w:kern w:val="0"/>
          <w:sz w:val="32"/>
          <w:szCs w:val="24"/>
        </w:rPr>
      </w:pPr>
      <w:r>
        <w:rPr>
          <w:rFonts w:hint="eastAsia" w:ascii="华文细黑" w:hAnsi="华文细黑" w:eastAsia="华文细黑" w:cs="华文细黑"/>
          <w:b/>
          <w:color w:val="000000"/>
          <w:kern w:val="0"/>
          <w:sz w:val="32"/>
          <w:szCs w:val="24"/>
        </w:rPr>
        <w:t>关于调整宁银理财宁欣天天鎏金现金管理类理财产品6号产品说明书的公告</w:t>
      </w:r>
    </w:p>
    <w:p>
      <w:pPr>
        <w:widowControl/>
        <w:spacing w:before="100" w:beforeAutospacing="1" w:after="270" w:line="450" w:lineRule="atLeast"/>
        <w:rPr>
          <w:rFonts w:ascii="华文细黑" w:hAnsi="华文细黑" w:eastAsia="华文细黑" w:cs="华文细黑"/>
          <w:color w:val="000000"/>
          <w:kern w:val="0"/>
          <w:sz w:val="24"/>
          <w:szCs w:val="24"/>
        </w:rPr>
      </w:pPr>
      <w:r>
        <w:rPr>
          <w:rFonts w:hint="eastAsia" w:ascii="华文细黑" w:hAnsi="华文细黑" w:eastAsia="华文细黑" w:cs="华文细黑"/>
          <w:color w:val="000000"/>
          <w:kern w:val="0"/>
          <w:sz w:val="24"/>
          <w:szCs w:val="24"/>
        </w:rPr>
        <w:t>尊敬的投资者：</w:t>
      </w:r>
    </w:p>
    <w:p>
      <w:pPr>
        <w:widowControl/>
        <w:spacing w:line="360" w:lineRule="auto"/>
        <w:ind w:firstLine="480" w:firstLineChars="200"/>
        <w:rPr>
          <w:rFonts w:ascii="华文细黑" w:hAnsi="华文细黑" w:eastAsia="华文细黑" w:cs="华文细黑"/>
          <w:color w:val="000000"/>
          <w:kern w:val="0"/>
          <w:sz w:val="24"/>
          <w:szCs w:val="24"/>
        </w:rPr>
      </w:pPr>
      <w:r>
        <w:rPr>
          <w:rFonts w:hint="eastAsia" w:ascii="华文细黑" w:hAnsi="华文细黑" w:eastAsia="华文细黑" w:cs="华文细黑"/>
          <w:color w:val="000000"/>
          <w:kern w:val="0"/>
          <w:sz w:val="24"/>
          <w:szCs w:val="24"/>
        </w:rPr>
        <w:t>宁银理财将于近期调整宁银理财宁欣天天鎏金现金管理类理财产品6号（产品代码：8001）产品</w:t>
      </w:r>
      <w:r>
        <w:rPr>
          <w:rFonts w:hint="eastAsia" w:ascii="华文细黑" w:hAnsi="华文细黑" w:eastAsia="华文细黑" w:cs="Arial"/>
          <w:color w:val="000000"/>
          <w:kern w:val="0"/>
          <w:sz w:val="24"/>
          <w:szCs w:val="24"/>
        </w:rPr>
        <w:t>说明书</w:t>
      </w:r>
      <w:r>
        <w:rPr>
          <w:rFonts w:hint="eastAsia" w:ascii="华文细黑" w:hAnsi="华文细黑" w:eastAsia="华文细黑" w:cs="华文细黑"/>
          <w:color w:val="000000"/>
          <w:kern w:val="0"/>
          <w:sz w:val="24"/>
          <w:szCs w:val="24"/>
        </w:rPr>
        <w:t>相关要素，具体如下：</w:t>
      </w:r>
    </w:p>
    <w:p>
      <w:pPr>
        <w:widowControl/>
        <w:spacing w:line="360" w:lineRule="auto"/>
        <w:ind w:firstLine="480" w:firstLineChars="200"/>
        <w:rPr>
          <w:rFonts w:ascii="华文细黑" w:hAnsi="华文细黑" w:eastAsia="华文细黑" w:cs="华文细黑"/>
          <w:color w:val="000000"/>
          <w:kern w:val="0"/>
          <w:sz w:val="24"/>
          <w:szCs w:val="24"/>
        </w:rPr>
      </w:pPr>
      <w:r>
        <w:rPr>
          <w:rFonts w:hint="eastAsia" w:ascii="华文细黑" w:hAnsi="华文细黑" w:eastAsia="华文细黑" w:cs="华文细黑"/>
          <w:color w:val="000000"/>
          <w:kern w:val="0"/>
          <w:sz w:val="24"/>
          <w:szCs w:val="24"/>
        </w:rPr>
        <w:t>（1）“二、产品要素”项下，调整产品</w:t>
      </w:r>
      <w:r>
        <w:rPr>
          <w:rFonts w:hint="eastAsia" w:ascii="华文细黑" w:hAnsi="华文细黑" w:eastAsia="华文细黑" w:cs="华文细黑"/>
          <w:b/>
          <w:bCs/>
          <w:color w:val="000000"/>
          <w:kern w:val="0"/>
          <w:sz w:val="24"/>
          <w:szCs w:val="24"/>
        </w:rPr>
        <w:t>“</w:t>
      </w:r>
      <w:r>
        <w:rPr>
          <w:rFonts w:hint="eastAsia" w:ascii="华文细黑" w:hAnsi="华文细黑" w:eastAsia="华文细黑" w:cs="华文细黑"/>
          <w:b/>
          <w:color w:val="000000"/>
          <w:kern w:val="0"/>
          <w:sz w:val="24"/>
          <w:szCs w:val="24"/>
        </w:rPr>
        <w:t>产品费用及税收规定</w:t>
      </w:r>
      <w:r>
        <w:rPr>
          <w:rFonts w:hint="eastAsia" w:ascii="华文细黑" w:hAnsi="华文细黑" w:eastAsia="华文细黑" w:cs="华文细黑"/>
          <w:b/>
          <w:bCs/>
          <w:color w:val="000000"/>
          <w:kern w:val="0"/>
          <w:sz w:val="24"/>
          <w:szCs w:val="24"/>
        </w:rPr>
        <w:t>”</w:t>
      </w:r>
      <w:r>
        <w:rPr>
          <w:rFonts w:hint="eastAsia" w:ascii="华文细黑" w:hAnsi="华文细黑" w:eastAsia="华文细黑" w:cs="华文细黑"/>
          <w:bCs/>
          <w:color w:val="000000"/>
          <w:kern w:val="0"/>
          <w:sz w:val="24"/>
          <w:szCs w:val="24"/>
        </w:rPr>
        <w:t>相关表述为“本产品收取的费用包括固定管理费0.40%（年化）、强制赎回费（若有）等”。</w:t>
      </w:r>
    </w:p>
    <w:p>
      <w:pPr>
        <w:widowControl/>
        <w:spacing w:line="360" w:lineRule="auto"/>
        <w:ind w:firstLine="480" w:firstLineChars="200"/>
        <w:rPr>
          <w:rFonts w:ascii="华文细黑" w:hAnsi="华文细黑" w:eastAsia="华文细黑" w:cs="华文细黑"/>
          <w:bCs/>
          <w:color w:val="000000"/>
          <w:kern w:val="0"/>
          <w:sz w:val="24"/>
          <w:szCs w:val="24"/>
        </w:rPr>
      </w:pPr>
      <w:r>
        <w:rPr>
          <w:rFonts w:hint="eastAsia" w:ascii="华文细黑" w:hAnsi="华文细黑" w:eastAsia="华文细黑" w:cs="华文细黑"/>
          <w:color w:val="000000"/>
          <w:kern w:val="0"/>
          <w:sz w:val="24"/>
          <w:szCs w:val="24"/>
        </w:rPr>
        <w:t>（2）“三、产品投资管理”项下，调整产品</w:t>
      </w:r>
      <w:r>
        <w:rPr>
          <w:rFonts w:hint="eastAsia" w:ascii="华文细黑" w:hAnsi="华文细黑" w:eastAsia="华文细黑" w:cs="华文细黑"/>
          <w:b/>
          <w:color w:val="000000"/>
          <w:kern w:val="0"/>
          <w:sz w:val="24"/>
          <w:szCs w:val="24"/>
        </w:rPr>
        <w:t>“投资范围”</w:t>
      </w:r>
      <w:r>
        <w:rPr>
          <w:rFonts w:hint="eastAsia" w:ascii="华文细黑" w:hAnsi="华文细黑" w:eastAsia="华文细黑" w:cs="华文细黑"/>
          <w:bCs/>
          <w:color w:val="000000"/>
          <w:kern w:val="0"/>
          <w:sz w:val="24"/>
          <w:szCs w:val="24"/>
        </w:rPr>
        <w:t>相关表述。</w:t>
      </w:r>
    </w:p>
    <w:p>
      <w:pPr>
        <w:widowControl/>
        <w:ind w:firstLine="480" w:firstLineChars="200"/>
        <w:rPr>
          <w:rFonts w:ascii="华文细黑" w:hAnsi="华文细黑" w:eastAsia="华文细黑" w:cs="华文细黑"/>
          <w:bCs/>
          <w:color w:val="000000"/>
          <w:kern w:val="0"/>
          <w:sz w:val="24"/>
          <w:szCs w:val="24"/>
        </w:rPr>
      </w:pPr>
      <w:r>
        <w:rPr>
          <w:rFonts w:hint="eastAsia" w:ascii="华文细黑" w:hAnsi="华文细黑" w:eastAsia="华文细黑" w:cs="华文细黑"/>
          <w:bCs/>
          <w:color w:val="000000"/>
          <w:kern w:val="0"/>
          <w:sz w:val="24"/>
          <w:szCs w:val="24"/>
        </w:rPr>
        <w:t>（3）“四、产品交易相关规则”项下，调整“</w:t>
      </w:r>
      <w:r>
        <w:rPr>
          <w:rFonts w:hint="eastAsia" w:ascii="华文细黑" w:hAnsi="华文细黑" w:eastAsia="华文细黑" w:cs="华文细黑"/>
          <w:b/>
          <w:color w:val="000000"/>
          <w:kern w:val="0"/>
          <w:sz w:val="24"/>
          <w:szCs w:val="24"/>
        </w:rPr>
        <w:t>认购和申购相关规则</w:t>
      </w:r>
      <w:r>
        <w:rPr>
          <w:rFonts w:hint="eastAsia" w:ascii="华文细黑" w:hAnsi="华文细黑" w:eastAsia="华文细黑" w:cs="华文细黑"/>
          <w:bCs/>
          <w:color w:val="000000"/>
          <w:kern w:val="0"/>
          <w:sz w:val="24"/>
          <w:szCs w:val="24"/>
        </w:rPr>
        <w:t>”、“</w:t>
      </w:r>
      <w:r>
        <w:rPr>
          <w:rFonts w:hint="eastAsia" w:ascii="华文细黑" w:hAnsi="华文细黑" w:eastAsia="华文细黑" w:cs="华文细黑"/>
          <w:b/>
          <w:color w:val="000000"/>
          <w:kern w:val="0"/>
          <w:sz w:val="24"/>
          <w:szCs w:val="24"/>
        </w:rPr>
        <w:t>赎回相关规则</w:t>
      </w:r>
      <w:r>
        <w:rPr>
          <w:rFonts w:hint="eastAsia" w:ascii="华文细黑" w:hAnsi="华文细黑" w:eastAsia="华文细黑" w:cs="华文细黑"/>
          <w:bCs/>
          <w:color w:val="000000"/>
          <w:kern w:val="0"/>
          <w:sz w:val="24"/>
          <w:szCs w:val="24"/>
        </w:rPr>
        <w:t>”、“</w:t>
      </w:r>
      <w:r>
        <w:rPr>
          <w:rFonts w:hint="eastAsia" w:ascii="华文细黑" w:hAnsi="华文细黑" w:eastAsia="华文细黑" w:cs="华文细黑"/>
          <w:b/>
          <w:color w:val="000000"/>
          <w:kern w:val="0"/>
          <w:sz w:val="24"/>
          <w:szCs w:val="24"/>
        </w:rPr>
        <w:t>投资者持有份额及金额计算规则</w:t>
      </w:r>
      <w:r>
        <w:rPr>
          <w:rFonts w:hint="eastAsia" w:ascii="华文细黑" w:hAnsi="华文细黑" w:eastAsia="华文细黑" w:cs="华文细黑"/>
          <w:bCs/>
          <w:color w:val="000000"/>
          <w:kern w:val="0"/>
          <w:sz w:val="24"/>
          <w:szCs w:val="24"/>
        </w:rPr>
        <w:t>”和“</w:t>
      </w:r>
      <w:r>
        <w:rPr>
          <w:rFonts w:hint="eastAsia" w:ascii="华文细黑" w:hAnsi="华文细黑" w:eastAsia="华文细黑" w:cs="华文细黑"/>
          <w:b/>
          <w:color w:val="000000"/>
          <w:kern w:val="0"/>
          <w:sz w:val="24"/>
          <w:szCs w:val="24"/>
        </w:rPr>
        <w:t>巨额赎回</w:t>
      </w:r>
      <w:r>
        <w:rPr>
          <w:rFonts w:hint="eastAsia" w:ascii="华文细黑" w:hAnsi="华文细黑" w:eastAsia="华文细黑" w:cs="华文细黑"/>
          <w:bCs/>
          <w:color w:val="000000"/>
          <w:kern w:val="0"/>
          <w:sz w:val="24"/>
          <w:szCs w:val="24"/>
        </w:rPr>
        <w:t>”相关表述。</w:t>
      </w:r>
    </w:p>
    <w:p>
      <w:pPr>
        <w:widowControl/>
        <w:ind w:firstLine="480" w:firstLineChars="200"/>
        <w:rPr>
          <w:rFonts w:hint="default" w:ascii="华文细黑" w:hAnsi="华文细黑" w:cs="华文细黑" w:eastAsiaTheme="minorEastAsia"/>
          <w:bCs/>
          <w:color w:val="000000"/>
          <w:kern w:val="0"/>
          <w:sz w:val="24"/>
          <w:szCs w:val="24"/>
          <w:lang w:val="en-US" w:eastAsia="zh-CN"/>
        </w:rPr>
      </w:pPr>
      <w:r>
        <w:rPr>
          <w:rFonts w:hint="eastAsia" w:ascii="华文细黑" w:hAnsi="华文细黑" w:eastAsia="华文细黑" w:cs="华文细黑"/>
          <w:bCs/>
          <w:color w:val="000000"/>
          <w:kern w:val="0"/>
          <w:sz w:val="24"/>
          <w:szCs w:val="24"/>
        </w:rPr>
        <w:t>（4）“五、产品资产估值原则及方法”项下，调整“</w:t>
      </w:r>
      <w:r>
        <w:rPr>
          <w:rFonts w:hint="eastAsia" w:ascii="华文细黑" w:hAnsi="华文细黑" w:eastAsia="华文细黑" w:cs="华文细黑"/>
          <w:b/>
          <w:color w:val="000000"/>
          <w:kern w:val="0"/>
          <w:sz w:val="24"/>
          <w:szCs w:val="24"/>
        </w:rPr>
        <w:t>估值原则</w:t>
      </w:r>
      <w:r>
        <w:rPr>
          <w:rFonts w:hint="eastAsia" w:ascii="华文细黑" w:hAnsi="华文细黑" w:eastAsia="华文细黑" w:cs="华文细黑"/>
          <w:bCs/>
          <w:color w:val="000000"/>
          <w:kern w:val="0"/>
          <w:sz w:val="24"/>
          <w:szCs w:val="24"/>
        </w:rPr>
        <w:t>”相关表述</w:t>
      </w:r>
      <w:r>
        <w:rPr>
          <w:rFonts w:hint="eastAsia" w:ascii="华文细黑" w:hAnsi="华文细黑" w:eastAsia="华文细黑" w:cs="华文细黑"/>
          <w:bCs/>
          <w:color w:val="000000"/>
          <w:kern w:val="0"/>
          <w:sz w:val="24"/>
          <w:szCs w:val="24"/>
          <w:lang w:eastAsia="zh-CN"/>
        </w:rPr>
        <w:t>，</w:t>
      </w:r>
      <w:r>
        <w:rPr>
          <w:rFonts w:hint="eastAsia" w:ascii="华文细黑" w:hAnsi="华文细黑" w:eastAsia="华文细黑" w:cs="华文细黑"/>
          <w:bCs/>
          <w:color w:val="000000"/>
          <w:kern w:val="0"/>
          <w:sz w:val="24"/>
          <w:szCs w:val="24"/>
          <w:lang w:val="en-US" w:eastAsia="zh-CN"/>
        </w:rPr>
        <w:t>明确“影子定价”适用情形和</w:t>
      </w:r>
      <w:r>
        <w:rPr>
          <w:rFonts w:hint="eastAsia" w:ascii="华文细黑" w:hAnsi="华文细黑" w:eastAsia="华文细黑" w:cs="华文细黑"/>
          <w:bCs/>
          <w:color w:val="000000"/>
          <w:kern w:val="0"/>
          <w:sz w:val="24"/>
          <w:szCs w:val="24"/>
        </w:rPr>
        <w:t>当影子定价确定的现金管理类产品资产净值与摊余成本法计算的资产净值</w:t>
      </w:r>
      <w:r>
        <w:rPr>
          <w:rFonts w:hint="eastAsia" w:ascii="华文细黑" w:hAnsi="华文细黑" w:eastAsia="华文细黑" w:cs="华文细黑"/>
          <w:bCs/>
          <w:color w:val="000000"/>
          <w:kern w:val="0"/>
          <w:sz w:val="24"/>
          <w:szCs w:val="24"/>
          <w:lang w:val="en-US" w:eastAsia="zh-CN"/>
        </w:rPr>
        <w:t>出现偏离时，产品管理人将采取的各项措施。</w:t>
      </w:r>
    </w:p>
    <w:p>
      <w:pPr>
        <w:pStyle w:val="2"/>
        <w:ind w:firstLine="480" w:firstLineChars="200"/>
        <w:rPr>
          <w:rFonts w:hint="eastAsia" w:ascii="华文细黑" w:hAnsi="华文细黑" w:eastAsia="华文细黑" w:cs="华文细黑"/>
          <w:bCs/>
          <w:color w:val="000000"/>
          <w:kern w:val="0"/>
          <w:sz w:val="24"/>
          <w:szCs w:val="24"/>
          <w:highlight w:val="none"/>
        </w:rPr>
      </w:pPr>
      <w:r>
        <w:rPr>
          <w:rFonts w:hint="eastAsia" w:ascii="华文细黑" w:hAnsi="华文细黑" w:eastAsia="华文细黑" w:cs="华文细黑"/>
          <w:bCs/>
          <w:color w:val="000000"/>
          <w:kern w:val="0"/>
          <w:sz w:val="24"/>
          <w:szCs w:val="24"/>
        </w:rPr>
        <w:t>（5）“六、产品费用、收益及税</w:t>
      </w:r>
      <w:bookmarkStart w:id="0" w:name="_GoBack"/>
      <w:r>
        <w:rPr>
          <w:rFonts w:hint="eastAsia" w:ascii="华文细黑" w:hAnsi="华文细黑" w:eastAsia="华文细黑" w:cs="华文细黑"/>
          <w:bCs/>
          <w:color w:val="000000"/>
          <w:kern w:val="0"/>
          <w:sz w:val="24"/>
          <w:szCs w:val="24"/>
          <w:highlight w:val="none"/>
        </w:rPr>
        <w:t>收说明”项下，明确本产品收取的费用包括固定管理费、强制赎回费（若有）等，并增加强制赎回费的具体计提方法、计提标准和支付方式</w:t>
      </w:r>
      <w:r>
        <w:rPr>
          <w:rFonts w:hint="eastAsia" w:ascii="华文细黑" w:hAnsi="华文细黑" w:eastAsia="华文细黑" w:cs="华文细黑"/>
          <w:bCs/>
          <w:color w:val="000000"/>
          <w:kern w:val="0"/>
          <w:sz w:val="24"/>
          <w:szCs w:val="24"/>
          <w:highlight w:val="none"/>
          <w:lang w:eastAsia="zh-CN"/>
        </w:rPr>
        <w:t>。</w:t>
      </w:r>
    </w:p>
    <w:p>
      <w:pPr>
        <w:widowControl/>
        <w:ind w:firstLine="480" w:firstLineChars="200"/>
        <w:rPr>
          <w:rFonts w:ascii="华文细黑" w:hAnsi="华文细黑" w:eastAsia="华文细黑" w:cs="华文细黑"/>
          <w:bCs/>
          <w:color w:val="000000"/>
          <w:kern w:val="0"/>
          <w:sz w:val="24"/>
          <w:szCs w:val="24"/>
        </w:rPr>
      </w:pPr>
      <w:r>
        <w:rPr>
          <w:rFonts w:hint="eastAsia" w:ascii="华文细黑" w:hAnsi="华文细黑" w:eastAsia="华文细黑" w:cs="华文细黑"/>
          <w:bCs/>
          <w:color w:val="000000"/>
          <w:kern w:val="0"/>
          <w:sz w:val="24"/>
          <w:szCs w:val="24"/>
          <w:highlight w:val="none"/>
        </w:rPr>
        <w:t>（6）“十、信息披露”项下，明确定期报告中列示前十项资产</w:t>
      </w:r>
      <w:bookmarkEnd w:id="0"/>
      <w:r>
        <w:rPr>
          <w:rFonts w:hint="eastAsia" w:ascii="华文细黑" w:hAnsi="华文细黑" w:eastAsia="华文细黑" w:cs="华文细黑"/>
          <w:bCs/>
          <w:color w:val="000000"/>
          <w:kern w:val="0"/>
          <w:sz w:val="24"/>
          <w:szCs w:val="24"/>
        </w:rPr>
        <w:t>具体名称、规模和比例，以及在半年和年度报告中产品前10名投资者的类别、持有份额及占总份额的比例等信息。同时本产品存续期间，如出现单一投资者持有产品份额达到或者超过该产品总份额20%的情形，为保障其他投资者的权益，产品管理人将在定期报告中披露该投资者的类别、持有份额及占比、持有份额变化情况及产品风险等信息，银保监会认定的特殊情形除外。</w:t>
      </w:r>
    </w:p>
    <w:p>
      <w:pPr>
        <w:widowControl/>
        <w:ind w:firstLine="480" w:firstLineChars="200"/>
        <w:rPr>
          <w:rFonts w:ascii="华文细黑" w:hAnsi="华文细黑" w:eastAsia="华文细黑" w:cs="华文细黑"/>
          <w:color w:val="000000"/>
          <w:kern w:val="0"/>
          <w:sz w:val="24"/>
          <w:szCs w:val="24"/>
        </w:rPr>
      </w:pPr>
      <w:r>
        <w:rPr>
          <w:rFonts w:hint="eastAsia" w:ascii="华文细黑" w:hAnsi="华文细黑" w:eastAsia="华文细黑" w:cs="华文细黑"/>
          <w:bCs/>
          <w:color w:val="000000"/>
          <w:kern w:val="0"/>
          <w:sz w:val="24"/>
          <w:szCs w:val="24"/>
        </w:rPr>
        <w:t>（7）</w:t>
      </w:r>
      <w:r>
        <w:rPr>
          <w:rFonts w:hint="eastAsia" w:ascii="华文细黑" w:hAnsi="华文细黑" w:eastAsia="华文细黑" w:cs="华文细黑"/>
          <w:color w:val="000000"/>
          <w:kern w:val="0"/>
          <w:sz w:val="24"/>
          <w:szCs w:val="24"/>
        </w:rPr>
        <w:t>“十、特别提示”项下，明确在本产品的实际运作管理过程中，若相关法律法规或政策另有规定，从其规定。</w:t>
      </w:r>
    </w:p>
    <w:p/>
    <w:p>
      <w:pPr>
        <w:widowControl/>
        <w:ind w:firstLine="480" w:firstLineChars="200"/>
        <w:jc w:val="left"/>
        <w:rPr>
          <w:rFonts w:ascii="华文细黑" w:hAnsi="华文细黑" w:eastAsia="华文细黑" w:cs="华文细黑"/>
          <w:color w:val="000000"/>
          <w:kern w:val="0"/>
          <w:sz w:val="24"/>
          <w:szCs w:val="24"/>
        </w:rPr>
      </w:pPr>
      <w:r>
        <w:rPr>
          <w:rFonts w:hint="eastAsia" w:ascii="华文细黑" w:hAnsi="华文细黑" w:eastAsia="华文细黑" w:cs="华文细黑"/>
          <w:b/>
          <w:color w:val="000000"/>
          <w:sz w:val="24"/>
          <w:szCs w:val="24"/>
        </w:rPr>
        <w:t>特别提示</w:t>
      </w:r>
      <w:r>
        <w:rPr>
          <w:rFonts w:hint="eastAsia" w:ascii="华文细黑" w:hAnsi="华文细黑" w:eastAsia="华文细黑" w:cs="华文细黑"/>
          <w:color w:val="000000"/>
          <w:sz w:val="24"/>
          <w:szCs w:val="24"/>
        </w:rPr>
        <w:t>：以上</w:t>
      </w:r>
      <w:r>
        <w:rPr>
          <w:rFonts w:hint="eastAsia" w:ascii="华文细黑" w:hAnsi="华文细黑" w:eastAsia="华文细黑" w:cs="华文细黑"/>
          <w:color w:val="000000"/>
          <w:kern w:val="0"/>
          <w:sz w:val="24"/>
          <w:szCs w:val="24"/>
          <w:lang w:bidi="ar"/>
        </w:rPr>
        <w:t>调整将于</w:t>
      </w:r>
      <w:r>
        <w:rPr>
          <w:rFonts w:ascii="华文细黑" w:hAnsi="华文细黑" w:eastAsia="华文细黑" w:cs="华文细黑"/>
          <w:color w:val="000000"/>
          <w:kern w:val="0"/>
          <w:sz w:val="24"/>
          <w:szCs w:val="24"/>
          <w:lang w:bidi="ar"/>
        </w:rPr>
        <w:t>9</w:t>
      </w:r>
      <w:r>
        <w:rPr>
          <w:rFonts w:hint="eastAsia" w:ascii="华文细黑" w:hAnsi="华文细黑" w:eastAsia="华文细黑" w:cs="Arial"/>
          <w:sz w:val="24"/>
          <w:szCs w:val="24"/>
        </w:rPr>
        <w:t>月30日（含）起</w:t>
      </w:r>
      <w:r>
        <w:rPr>
          <w:rFonts w:ascii="华文细黑" w:hAnsi="华文细黑" w:eastAsia="华文细黑" w:cs="Arial"/>
          <w:sz w:val="24"/>
          <w:szCs w:val="24"/>
        </w:rPr>
        <w:t>生效</w:t>
      </w:r>
      <w:r>
        <w:rPr>
          <w:rFonts w:hint="eastAsia" w:ascii="华文细黑" w:hAnsi="华文细黑" w:eastAsia="华文细黑" w:cs="Arial"/>
          <w:sz w:val="24"/>
          <w:szCs w:val="24"/>
        </w:rPr>
        <w:t>，</w:t>
      </w:r>
      <w:r>
        <w:rPr>
          <w:rFonts w:hint="eastAsia" w:ascii="华文细黑" w:hAnsi="华文细黑" w:eastAsia="华文细黑" w:cs="华文细黑"/>
          <w:color w:val="000000"/>
          <w:kern w:val="0"/>
          <w:sz w:val="24"/>
          <w:szCs w:val="24"/>
        </w:rPr>
        <w:t>最终调整后的销售文件请以宁银理财有限责任公司正式公布为准。若您对上述调整事项有异议，根据销售文件约定，可于9月27日至9月29日的交易时间内提交赎回申请。若您在上述期限后继续持有本产品，视同接受公告内容。</w:t>
      </w:r>
    </w:p>
    <w:p/>
    <w:p>
      <w:pPr>
        <w:widowControl/>
        <w:spacing w:before="100" w:beforeAutospacing="1" w:after="270" w:line="450" w:lineRule="atLeast"/>
        <w:ind w:firstLine="480"/>
        <w:rPr>
          <w:rFonts w:ascii="华文细黑" w:hAnsi="华文细黑" w:eastAsia="华文细黑" w:cs="华文细黑"/>
          <w:color w:val="000000"/>
          <w:sz w:val="24"/>
          <w:szCs w:val="24"/>
        </w:rPr>
      </w:pPr>
      <w:r>
        <w:rPr>
          <w:rFonts w:hint="eastAsia" w:ascii="华文细黑" w:hAnsi="华文细黑" w:eastAsia="华文细黑" w:cs="华文细黑"/>
          <w:color w:val="000000"/>
          <w:sz w:val="24"/>
          <w:szCs w:val="24"/>
        </w:rPr>
        <w:t>如有任何疑问，可详询以下销售机构各营业网点或通过电话方式咨询其客服热线。</w:t>
      </w:r>
    </w:p>
    <w:tbl>
      <w:tblPr>
        <w:tblStyle w:val="7"/>
        <w:tblW w:w="7530" w:type="dxa"/>
        <w:jc w:val="center"/>
        <w:tblLayout w:type="autofit"/>
        <w:tblCellMar>
          <w:top w:w="0" w:type="dxa"/>
          <w:left w:w="108" w:type="dxa"/>
          <w:bottom w:w="0" w:type="dxa"/>
          <w:right w:w="108" w:type="dxa"/>
        </w:tblCellMar>
      </w:tblPr>
      <w:tblGrid>
        <w:gridCol w:w="5047"/>
        <w:gridCol w:w="2483"/>
      </w:tblGrid>
      <w:tr>
        <w:tblPrEx>
          <w:tblCellMar>
            <w:top w:w="0" w:type="dxa"/>
            <w:left w:w="108" w:type="dxa"/>
            <w:bottom w:w="0" w:type="dxa"/>
            <w:right w:w="108" w:type="dxa"/>
          </w:tblCellMar>
        </w:tblPrEx>
        <w:trPr>
          <w:trHeight w:val="575" w:hRule="atLeast"/>
          <w:jc w:val="center"/>
        </w:trPr>
        <w:tc>
          <w:tcPr>
            <w:tcW w:w="5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华文细黑" w:hAnsi="华文细黑" w:eastAsia="华文细黑" w:cs="华文细黑"/>
                <w:b/>
                <w:bCs/>
                <w:color w:val="000000"/>
                <w:sz w:val="24"/>
                <w:szCs w:val="24"/>
              </w:rPr>
            </w:pPr>
            <w:r>
              <w:rPr>
                <w:rFonts w:hint="eastAsia" w:ascii="华文细黑" w:hAnsi="华文细黑" w:eastAsia="华文细黑" w:cs="华文细黑"/>
                <w:b/>
                <w:bCs/>
                <w:color w:val="000000"/>
                <w:kern w:val="0"/>
                <w:sz w:val="24"/>
                <w:szCs w:val="24"/>
                <w:lang w:bidi="ar"/>
              </w:rPr>
              <w:t>销售机构名称</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华文细黑" w:hAnsi="华文细黑" w:eastAsia="华文细黑" w:cs="华文细黑"/>
                <w:b/>
                <w:bCs/>
                <w:color w:val="000000"/>
                <w:sz w:val="24"/>
                <w:szCs w:val="24"/>
              </w:rPr>
            </w:pPr>
            <w:r>
              <w:rPr>
                <w:rFonts w:hint="eastAsia" w:ascii="华文细黑" w:hAnsi="华文细黑" w:eastAsia="华文细黑" w:cs="华文细黑"/>
                <w:b/>
                <w:bCs/>
                <w:color w:val="000000"/>
                <w:kern w:val="0"/>
                <w:sz w:val="24"/>
                <w:szCs w:val="24"/>
                <w:lang w:bidi="ar"/>
              </w:rPr>
              <w:t>客服热线</w:t>
            </w:r>
          </w:p>
        </w:tc>
      </w:tr>
      <w:tr>
        <w:tblPrEx>
          <w:tblCellMar>
            <w:top w:w="0" w:type="dxa"/>
            <w:left w:w="108" w:type="dxa"/>
            <w:bottom w:w="0" w:type="dxa"/>
            <w:right w:w="108" w:type="dxa"/>
          </w:tblCellMar>
        </w:tblPrEx>
        <w:trPr>
          <w:trHeight w:val="575" w:hRule="atLeast"/>
          <w:jc w:val="center"/>
        </w:trPr>
        <w:tc>
          <w:tcPr>
            <w:tcW w:w="5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华文细黑" w:hAnsi="华文细黑" w:eastAsia="华文细黑" w:cs="华文细黑"/>
                <w:sz w:val="24"/>
                <w:szCs w:val="24"/>
              </w:rPr>
            </w:pPr>
            <w:r>
              <w:rPr>
                <w:rFonts w:hint="eastAsia" w:ascii="华文细黑" w:hAnsi="华文细黑" w:eastAsia="华文细黑" w:cs="华文细黑"/>
                <w:kern w:val="0"/>
                <w:sz w:val="24"/>
                <w:szCs w:val="24"/>
                <w:lang w:bidi="ar"/>
              </w:rPr>
              <w:t>宁波银行股份有限公司</w:t>
            </w:r>
          </w:p>
        </w:tc>
        <w:tc>
          <w:tcPr>
            <w:tcW w:w="2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华文细黑" w:hAnsi="华文细黑" w:eastAsia="华文细黑" w:cs="华文细黑"/>
                <w:color w:val="000000"/>
                <w:sz w:val="24"/>
                <w:szCs w:val="24"/>
              </w:rPr>
            </w:pPr>
            <w:r>
              <w:rPr>
                <w:rFonts w:hint="eastAsia" w:ascii="华文细黑" w:hAnsi="华文细黑" w:eastAsia="华文细黑" w:cs="华文细黑"/>
                <w:color w:val="000000"/>
                <w:kern w:val="0"/>
                <w:sz w:val="24"/>
                <w:szCs w:val="24"/>
                <w:lang w:bidi="ar"/>
              </w:rPr>
              <w:t>95574</w:t>
            </w:r>
          </w:p>
        </w:tc>
      </w:tr>
    </w:tbl>
    <w:p>
      <w:pPr>
        <w:widowControl/>
        <w:spacing w:before="100" w:beforeAutospacing="1" w:after="270" w:line="450" w:lineRule="atLeast"/>
        <w:ind w:right="240"/>
        <w:jc w:val="right"/>
        <w:rPr>
          <w:rFonts w:ascii="华文细黑" w:hAnsi="华文细黑" w:eastAsia="华文细黑" w:cs="华文细黑"/>
          <w:color w:val="000000"/>
          <w:kern w:val="0"/>
          <w:sz w:val="24"/>
          <w:szCs w:val="24"/>
        </w:rPr>
      </w:pPr>
      <w:r>
        <w:rPr>
          <w:rFonts w:hint="eastAsia" w:ascii="华文细黑" w:hAnsi="华文细黑" w:eastAsia="华文细黑" w:cs="华文细黑"/>
          <w:color w:val="000000"/>
          <w:kern w:val="0"/>
          <w:sz w:val="24"/>
          <w:szCs w:val="24"/>
        </w:rPr>
        <w:t>宁银理财有限责任公司</w:t>
      </w:r>
    </w:p>
    <w:p>
      <w:pPr>
        <w:widowControl/>
        <w:spacing w:before="100" w:beforeAutospacing="1" w:after="270" w:line="450" w:lineRule="atLeast"/>
        <w:ind w:right="240" w:firstLine="480"/>
        <w:jc w:val="right"/>
        <w:rPr>
          <w:rFonts w:ascii="华文细黑" w:hAnsi="华文细黑" w:eastAsia="华文细黑" w:cs="华文细黑"/>
          <w:color w:val="000000"/>
          <w:kern w:val="0"/>
          <w:sz w:val="24"/>
          <w:szCs w:val="24"/>
        </w:rPr>
      </w:pPr>
      <w:r>
        <w:rPr>
          <w:rFonts w:hint="eastAsia" w:ascii="华文细黑" w:hAnsi="华文细黑" w:eastAsia="华文细黑" w:cs="华文细黑"/>
          <w:color w:val="000000"/>
          <w:kern w:val="0"/>
          <w:sz w:val="24"/>
          <w:szCs w:val="24"/>
        </w:rPr>
        <w:t>2022年9月27日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kZGZiNjk1NTcxYmIwOTU1NTdmYmNjYmRmOTE0YWQifQ=="/>
  </w:docVars>
  <w:rsids>
    <w:rsidRoot w:val="EB3F5EB1"/>
    <w:rsid w:val="00174C56"/>
    <w:rsid w:val="004205AA"/>
    <w:rsid w:val="005E23AC"/>
    <w:rsid w:val="00F11142"/>
    <w:rsid w:val="00F50739"/>
    <w:rsid w:val="028B4EF6"/>
    <w:rsid w:val="0B2963BB"/>
    <w:rsid w:val="0B8845CF"/>
    <w:rsid w:val="0E4E79D7"/>
    <w:rsid w:val="10EB73BE"/>
    <w:rsid w:val="144B482A"/>
    <w:rsid w:val="15346AFA"/>
    <w:rsid w:val="17235DF7"/>
    <w:rsid w:val="1E0C7501"/>
    <w:rsid w:val="28803E71"/>
    <w:rsid w:val="2E543F02"/>
    <w:rsid w:val="321C3FF9"/>
    <w:rsid w:val="33F548A7"/>
    <w:rsid w:val="33F56D25"/>
    <w:rsid w:val="36272A29"/>
    <w:rsid w:val="362D1DA6"/>
    <w:rsid w:val="36F15008"/>
    <w:rsid w:val="37AB42B3"/>
    <w:rsid w:val="380927D7"/>
    <w:rsid w:val="39F5649C"/>
    <w:rsid w:val="3C59272A"/>
    <w:rsid w:val="3C6F2EF0"/>
    <w:rsid w:val="3CE15430"/>
    <w:rsid w:val="48C92040"/>
    <w:rsid w:val="493205E0"/>
    <w:rsid w:val="4AF37A6E"/>
    <w:rsid w:val="4B6202EC"/>
    <w:rsid w:val="4DEE51F5"/>
    <w:rsid w:val="4E547DBC"/>
    <w:rsid w:val="4E8E79FF"/>
    <w:rsid w:val="4F391D64"/>
    <w:rsid w:val="50FB792C"/>
    <w:rsid w:val="520371B5"/>
    <w:rsid w:val="525F4DE7"/>
    <w:rsid w:val="55A94543"/>
    <w:rsid w:val="5A312F15"/>
    <w:rsid w:val="6439643F"/>
    <w:rsid w:val="6D7F1ABD"/>
    <w:rsid w:val="746B0E20"/>
    <w:rsid w:val="75353C7C"/>
    <w:rsid w:val="77077E4B"/>
    <w:rsid w:val="78057AA8"/>
    <w:rsid w:val="7C4865E5"/>
    <w:rsid w:val="7F945146"/>
    <w:rsid w:val="E97F25DF"/>
    <w:rsid w:val="EB3F5EB1"/>
    <w:rsid w:val="FFFC0A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Balloon Text"/>
    <w:basedOn w:val="1"/>
    <w:link w:val="12"/>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qFormat/>
    <w:uiPriority w:val="0"/>
    <w:rPr>
      <w:b/>
      <w:bCs/>
    </w:rPr>
  </w:style>
  <w:style w:type="character" w:styleId="9">
    <w:name w:val="annotation reference"/>
    <w:basedOn w:val="8"/>
    <w:qFormat/>
    <w:uiPriority w:val="0"/>
    <w:rPr>
      <w:sz w:val="21"/>
      <w:szCs w:val="21"/>
    </w:rPr>
  </w:style>
  <w:style w:type="character" w:customStyle="1" w:styleId="10">
    <w:name w:val="页眉 字符"/>
    <w:basedOn w:val="8"/>
    <w:link w:val="5"/>
    <w:qFormat/>
    <w:uiPriority w:val="0"/>
    <w:rPr>
      <w:rFonts w:asciiTheme="minorHAnsi" w:hAnsiTheme="minorHAnsi" w:eastAsiaTheme="minorEastAsia" w:cstheme="minorBidi"/>
      <w:kern w:val="2"/>
      <w:sz w:val="18"/>
      <w:szCs w:val="18"/>
    </w:rPr>
  </w:style>
  <w:style w:type="character" w:customStyle="1" w:styleId="11">
    <w:name w:val="页脚 字符"/>
    <w:basedOn w:val="8"/>
    <w:link w:val="4"/>
    <w:uiPriority w:val="0"/>
    <w:rPr>
      <w:rFonts w:asciiTheme="minorHAnsi" w:hAnsiTheme="minorHAnsi" w:eastAsiaTheme="minorEastAsia" w:cstheme="minorBidi"/>
      <w:kern w:val="2"/>
      <w:sz w:val="18"/>
      <w:szCs w:val="18"/>
    </w:rPr>
  </w:style>
  <w:style w:type="character" w:customStyle="1" w:styleId="12">
    <w:name w:val="批注框文本 字符"/>
    <w:basedOn w:val="8"/>
    <w:link w:val="3"/>
    <w:uiPriority w:val="0"/>
    <w:rPr>
      <w:rFonts w:asciiTheme="minorHAnsi" w:hAnsiTheme="minorHAnsi" w:eastAsiaTheme="minorEastAsia" w:cstheme="minorBidi"/>
      <w:kern w:val="2"/>
      <w:sz w:val="18"/>
      <w:szCs w:val="18"/>
    </w:rPr>
  </w:style>
  <w:style w:type="character" w:customStyle="1" w:styleId="13">
    <w:name w:val="批注文字 字符"/>
    <w:basedOn w:val="8"/>
    <w:link w:val="2"/>
    <w:qFormat/>
    <w:uiPriority w:val="0"/>
    <w:rPr>
      <w:rFonts w:asciiTheme="minorHAnsi" w:hAnsiTheme="minorHAnsi" w:eastAsiaTheme="minorEastAsia" w:cstheme="minorBidi"/>
      <w:kern w:val="2"/>
      <w:sz w:val="21"/>
      <w:szCs w:val="22"/>
    </w:rPr>
  </w:style>
  <w:style w:type="character" w:customStyle="1" w:styleId="14">
    <w:name w:val="批注主题 字符"/>
    <w:basedOn w:val="13"/>
    <w:link w:val="6"/>
    <w:qFormat/>
    <w:uiPriority w:val="0"/>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876</Words>
  <Characters>897</Characters>
  <Lines>6</Lines>
  <Paragraphs>1</Paragraphs>
  <TotalTime>11</TotalTime>
  <ScaleCrop>false</ScaleCrop>
  <LinksUpToDate>false</LinksUpToDate>
  <CharactersWithSpaces>897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2022-08-19T12:15:00Z</dcterms:created>
  <dc:creator>yuhaha</dc:creator>
  <cp:lastModifiedBy>杜铭钰</cp:lastModifiedBy>
  <dcterms:modified xsi:type="dcterms:W3CDTF">2022-09-27T09:15:49Z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23A1AD06B24046D6936AC6CB98E567BF</vt:lpwstr>
  </property>
</Properties>
</file>